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A second lineage-tracing system with six treatments in parallel, two clone-level data sets, the TCGA ovarian cancer cohort and 11 patients sampled before and after neoadjuvant chemotherapy served as external checks. Synthetic experiments with a known answer were used to check the estimators themselves.</w:t>
      </w:r>
    </w:p>
    <w:p>
      <w:pPr>
        <w:spacing w:after="160" w:line="360"/>
        <w:jc w:val="both"/>
      </w:pPr>
      <w:r>
        <w:rPr>
          <w:b/>
          <w:bCs/>
        </w:rPr>
        <w:t xml:space="preserve">Results.</w:t>
      </w:r>
      <w:r>
        <w:t xml:space="preserve"> A logistic model on 50 principal components predicted the sister's fate with AUROC 0.72–0.75 in the drug arms (label-permutation p &lt; 0.01), well above the 0.50–0.60 reported for existing drug-response predictors on the same olaparib task. Neither tuning, pooling arms, gradient boosting, a graph neural network with sister-pair pretraining nor embeddings from a single-cell foundation model improved on it (graph network 0.70–0.73; Geneformer 0.67–0.68). However, a model trained only on the untreated control arm predicted the drug-arm labels almost as well (0.70–0.73). With training size matched, the drug-specific gain over this fitness model was 0.014–0.025 AUROC, falling to 0.003 for NK cells once depth and mitochondrial content were removed. That gain is positive in every arm and every preprocessing variant, but once uncertainty in model fitting is included rather than evaluation alone, no single arm's interval excludes zero (p = 0.07–0.21), which matches a design calculation showing the experiment can resolve about 0.021. Sister discordance alone cost about 0.09–0.12 AUROC. A label-free measure of how typical a cell's state is reached 0.63–0.70 on its own; inferred copy-number subclones did not explain the signal. The pattern held in a second system: across six treatments of barcoded melanoma cells, clone size before treatment predicted whether a lineage was detected again better than expression did in every arm (0.68–0.90 against 0.54–0.66), and expression added nothing beyond clone size for two of the six. No derived signature was associated with outcome in TCGA ovarian tumours after correction, and in patients the drug signatures were not enriched in the cells that persisted through chemotherapy while the fitness signature was depleted. Substitutes for an untreated arm failed in both directions, over- and under-stating the drug-specific gain.</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the drug-specific remainder is small enough that the experiment cannot separate it from zero, and even a perfect model of the sequenced cell would be limited by the imperfect similarity of sisters. The fitness state does not appear to be what selects cells in treated patients. Because no substitute for a matched untreated arm reproduced it, we argue that such an arm should be carried through the same protocol wherever pre-existing states are claimed to predict drug tolerance, and we provide the evaluation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0.025 for olaparib and 0.017 for NK, with a spread across the ten training subsets of only 0.003–0.004 (Fig. 3c, Table S19). How certain these numbers are depends on what the interval is asked to include. Resampling families to re-score models that were fitted once gives intervals that exclude zero in all three arms (0.001–0.026, 0.012–0.039, 0.003–0.031), but that describes only how much the evaluation would move. Repeating the whole procedure inside each of 60 bootstrap replicates, so that the control-arm model and the capped out-of-fold drug model are refitted every time, gives 0.017 for carboplatin (95% CI −0.002 to 0.043, p = 0.16), 0.022 for olaparib (−0.004 to 0.046, p = 0.07) and 0.014 for NK (−0.011 to 0.038, p = 0.21) (Table S27). None of these excludes zero. The size of the effect is therefore well constrained and small, but this experiment cannot establish from any single arm that it is not zero, which is what our design calculation implies: with 3,879 labelled control families it can resolve a gain of about 0.023 to 0.025 at 80% power, and all three estimates fall below that. What does speak for a real effect is consistency rather than any one interval: the gain is positive in all three arms, under all three preprocessing variants, and across every alternative representation we tried, and the likelihood-ratio test above, which asks whether the drug score adds information about these cells rather than whether the gain would repeat in a new experiment, is significant beyond p &lt; 10⁻²⁵ in every arm. The gain was essentially unchanged after removing cell cycle (0.014, 0.025, 0.014). After removing depth and mitochondrial content as well, it was 0.012 for carboplatin, 0.021 for olaparib and 0.003 for NK. For NK cells, therefore, nothing drug-specific remained even by the narrower evaluation-only interval (−0.010 to 0.016).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2"/>
      </w:pPr>
      <w:r>
        <w:t xml:space="preserve">A second lineage system, six treatments: clone size explains most of the signal again (Fig. 7)</w:t>
      </w:r>
    </w:p>
    <w:p>
      <w:pPr>
        <w:spacing w:after="160" w:line="360"/>
        <w:jc w:val="both"/>
      </w:pPr>
      <w:r>
        <w:t xml:space="preserve">ReSisTrace is the only design we know of that carries an untreated arm through the whole protocol, so the fitness model cannot be rebuilt elsewhere. A weaker version of the same question can be asked wherever pre-treatment clone size is measured, because the size a lineage reaches in culture before any drug is itself a measure of how well it grows. Schaff et al. (2026) barcoded WM989 melanoma cells, profiled an untreated sample, split the rest across six treatments (dabrafenib, trametinib, CoCl2, acidic medium, cisplatin and doxorubicin) and sequenced the surviving cells with paired barcodes. Every untreated cell therefore carries six labels at once. We assigned lineages from the barcode features stored in the same matrices as the genes (Methods) and obtained 7,165 untreated cells from 1,695 lineages, of which 30.6% (trametinib) to 78.3% (acidic medium) lay in a lineage that was detected again after treatment. As in the other clone-level data sets, what is observed is detection, not death: a lineage can go undetected because its cells died or simply because it was not sampled.</w:t>
      </w:r>
    </w:p>
    <w:p>
      <w:pPr>
        <w:spacing w:after="160" w:line="360"/>
        <w:jc w:val="both"/>
      </w:pPr>
      <w:r>
        <w:t xml:space="preserve">Clone size predicted detection better than expression for every one of the six treatments: AUROC 0.68–0.90 for clone size against 0.54–0.66 for a logistic model on 50 principal components, with lineage-grouped cross-validation throughout (Fig. 7a). Adding expression to clone size changed AUROC by at most 0.04, and for four treatments not at all. After the expression score was residualised on log clone size, it fell to 0.44–0.59, and the likelihood-ratio test for adding it to clone size was not significant for cisplatin (p = 0.46) or doxorubicin (p = 0.15), although it was for the other four (p &lt; 10⁻⁸; Table S22). The two targeted therapies behaved differently from the rest: dabrafenib and trametinib were the treatments where clone size mattered least (0.70 and 0.68) and where expression added most (0.04 and 0.03), which matches the weak clone-size correlations the original authors reported for exactly those two arms. For the stressors and the two chemotherapies, almost nothing survived the adjustment.</w:t>
      </w:r>
    </w:p>
    <w:p>
      <w:pPr>
        <w:spacing w:after="160" w:line="360"/>
        <w:jc w:val="both"/>
      </w:pPr>
      <w:r>
        <w:t xml:space="preserve">This does not contradict the original study, which showed that pre-treatment size is not the sole determinant of resistance and that some small clones became highly resistant. It does put the two predictors side by side, which had not been done: as a predictor of whether a lineage is detected again, its size before treatment is worth far more than its transcriptional state, and the part of the state that is not explained by growth is small except under MAPK inhibition.</w:t>
      </w:r>
    </w:p>
    <w:p>
      <w:pPr>
        <w:spacing w:after="160" w:line="360"/>
        <w:jc w:val="both"/>
      </w:pPr>
      <w:r>
        <w:t xml:space="preserve">While this work was in preparation, Aviv (2026) released a preregistered reanalysis of the same data that reaches the same conclusion about clone size from a different direction, and then goes further. That analysis notes that "clone abundance dominates", so a comparison that does not hold abundance fixed finds "a signal that is really a headcount", which is what Fig. 7a shows. It then asks a question we do not: not whether a clone is detected at all, but which of the six conditions a clone is detected under. Holding clone abundance and condition identity fixed, a model in which state effects differ by condition ordered the six conditions within a clone better than a model in which the state effect is shared, by 0.052 in equal-clone-weighted within-clone AUROC (95% CI 0.037–0.066, permutation p &lt; 0.001), while a shared state effect added nothing to condition identity alone. The two results fit together and neither is implied by the other. Averaged over conditions, state is worth little next to size; conditional on size and condition, a small condition-specific part remains. It is worth noting how close that 0.052 is to the 0.014–0.025 we measure against a real untreated arm in ReSisTrace: in both systems the part of the pre-treatment state that is specific to the treatment is small and hard to see next to the axis that is not.</w:t>
      </w:r>
    </w:p>
    <w:p>
      <w:pPr>
        <w:spacing w:after="160" w:line="360"/>
        <w:jc w:val="both"/>
      </w:pPr>
      <w:r>
        <w:t xml:space="preserve">Cross-treatment transfer was structured rather than general (Fig. 7b). Scores trained on one treatment's labels ranked another treatment's labels at 0.48–0.63, with two blocks: the two MAPK inhibitors transferred to each other (0.565 and 0.568) better than to anything else, and the four stress and chemotherapy arms transferred among themselves (0.548–0.627). This is the pattern the original authors saw in the resistant cells' transcriptomes, and here it appears in what can be predicted beforehand.</w:t>
      </w:r>
    </w:p>
    <w:p>
      <w:pPr>
        <w:spacing w:after="160" w:line="360"/>
        <w:jc w:val="both"/>
      </w:pPr>
      <w:r>
        <w:t xml:space="preserve">The ceiling analysis did not carry over, for a reason worth stating. Cells that share a lineage in the untreated sample are separated by about six doublings rather than one division, and they share far less state: the mean intraclass correlation over the first ten principal components was 0.18, against 0.75 for ReSisTrace sisters, and the concordance of the model score between clone-mates was 0.17–0.21, against 0.63–0.81. Dividing the observed signal by so small a concordance is an extrapolation the liability model cannot support, and it failed openly: in three of the six treatments the implied correlation exceeded one and the estimate was clamped (Table S23). We therefore report no ceiling for this data set. The sister design, where the two cells are one division apart, is what makes that bound estimable at all.</w:t>
      </w:r>
    </w:p>
    <w:p>
      <w:pPr>
        <w:pStyle w:val="Heading2"/>
      </w:pPr>
      <w:r>
        <w:t xml:space="preserve">Without an untreated arm, the drug-specific gain can be bracketed but not measured (Fig. 8)</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where such a substitute can be checked, because the real control arm is there to check it against. We tried two, neither of which uses control-arm labels: the label-free density score, and a model trained on the other drug arms and applied to this one (either pooled, or averaged over the arms, which gave the same answer).</w:t>
      </w:r>
    </w:p>
    <w:p>
      <w:pPr>
        <w:spacing w:after="160" w:line="360"/>
        <w:jc w:val="both"/>
      </w:pPr>
      <w:r>
        <w:t xml:space="preserve">Neither reproduced the control arm, and they failed in opposite directions (Fig. 8, Table S26). Measured against the real control model, the drug-specific gain was 0.022 (carboplatin), 0.031 (olaparib) and 0.027 (NK). Measured against the density score it was two to three times larger, 0.043–0.090, because density is a weaker measure of fitness and leaves more of the fitness axis to be counted as drug-specific. Measured against the other drug arms it nearly vanished, to between 0.0045 and 0.0065, because those arms carry the drug-specific component too, so using them as a baseline subtracts part of the signal being measured. Agreement with the control score was moderate for density (Spearman 0.54–0.63) and higher for the other-arm models (0.84–0.87), but neither is a substitute.</w:t>
      </w:r>
    </w:p>
    <w:p>
      <w:pPr>
        <w:spacing w:after="160" w:line="360"/>
        <w:jc w:val="both"/>
      </w:pPr>
      <w:r>
        <w:t xml:space="preserve">The two err in opposite directions, and in all three arms the control-arm value fell between them. Where an untreated arm is missing, the pair may therefore still be worth reporting: the other-arm baseline as a low estimate, the label-free density score as a high one. We would not want this mistaken for a control arm. Three arms of one data set are not enough to establish that the ordering always holds, and in the second data set it does not: applying the same two baselines to the six treatments there gives 0.007–0.025 and 0.086–0.089 for the two MAPK inhibitors, but for the other four the two cross or both turn negative (−0.024 to 0.033 and −0.038 to 0.047), which is the same conclusion the clone-size adjustment reaches for those arms. The honest summary is that a substitute can flag when a pre-resistance signal is mostly fitness, and cannot be trusted to say by how much.</w:t>
      </w:r>
    </w:p>
    <w:p>
      <w:pPr>
        <w:pStyle w:val="Heading2"/>
      </w:pPr>
      <w:r>
        <w:t xml:space="preserve">The estimators, checked against a known answer (Fig. 9)</w:t>
      </w:r>
    </w:p>
    <w:p>
      <w:pPr>
        <w:spacing w:after="160" w:line="360"/>
        <w:jc w:val="both"/>
      </w:pPr>
      <w:r>
        <w:t xml:space="preserve">Everything above rests on two estimators, so we tested them where the answer is known. Synthetic sister experiments fix how much of survival is generic fitness, how much is drug-specific, how alike sisters are, and whether fate is driven by the treated cell's own state or by the state the sisters share; the framework was then run blind on 25 independent experiments per setting (Methods, Table S24).</w:t>
      </w:r>
    </w:p>
    <w:p>
      <w:pPr>
        <w:spacing w:after="160" w:line="360"/>
        <w:jc w:val="both"/>
      </w:pPr>
      <w:r>
        <w:t xml:space="preserve">The size-matched gain behaved well. When there was no drug-specific effect the estimate was −0.001 and only 2 of 25 experiments produced an interval excluding zero, close to the 5% expected. When an effect was present it was recovered with a bias of +0.001 to +0.005, rising with the size of the effect, and with a bias below 0.003 for every level of label noise we tried (0, 10 and 20%). The one setting that broke it was a technical confound: when a shared axis was added to both the measurement and the chance of being recovered, imitating the sequencing-depth effect seen in the real data, the gain was underestimated by 0.018 and the interval covered the truth in only 24% of experiments. This is the situation our </w:t>
      </w:r>
      <w:r>
        <w:rPr>
          <w:rFonts w:ascii="Consolas" w:cs="Consolas" w:eastAsia="Consolas" w:hAnsi="Consolas"/>
        </w:rPr>
        <w:t xml:space="preserve">regress_all</w:t>
      </w:r>
      <w:r>
        <w:t xml:space="preserve"> variant is meant for, and it suggests the numbers from that variant are conservative rather than deflated by over-correction.</w:t>
      </w:r>
    </w:p>
    <w:p>
      <w:pPr>
        <w:spacing w:after="160" w:line="360"/>
        <w:jc w:val="both"/>
      </w:pPr>
      <w:r>
        <w:t xml:space="preserve">The intervals were the weak point, and this is why the figures above are quoted from a refitting bootstrap. Setting the depth confound aside, the evaluation-only interval covered the truth in 52% to 88% of experiments rather than 95%, and it was worst where the effect was largest; with the depth confound it fell to 24%. Comparing its width with the actual spread of the estimate across independent experiments, it is too narrow by a factor of 1.2 to 1.9. Any bootstrap placed around a cross-validated score, here or elsewhere, is measuring how much the evaluation would move and not how much the whole procedure would move.</w:t>
      </w:r>
    </w:p>
    <w:p>
      <w:pPr>
        <w:spacing w:after="160" w:line="360"/>
        <w:jc w:val="both"/>
      </w:pPr>
      <w:r>
        <w:t xml:space="preserve">The ceiling was accurate when its assumption held and failed openly when it did not. With fate driven by the treated cell's own state, which is the case the estimator assumes, the implied AUROC was within 0.005 of what a model actually achieved on that cell. As fate was shifted towards depending only on the state the sisters share, the estimate drifted upward, by 0.052 at the halfway point and by 0.114 when fate depended on shared state alone. The error is one-sided: the estimator overstates what a perfect model of the treated cell could do, and therefore overstates the cost of reading the wrong cell. We verified this ordering analytically as well as by simulation (Methods), so the sister costs reported above should be read as upper bounds.</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biologically coherent, pointing to lower proliferation among otherwise fit cells, and it is positive everywhere we look, but it is worth one to three points of AUROC and no single arm resolves it from zero once the uncertainty of fitting is counted.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clone-level data sets show how strongly such designs are shaped by sampling. In all three, including the six treatments of the second system,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What the second system adds is that this is not a quirk of one protocol. Six treatments, a different cancer type and a different barcoding scheme give the same ordering: how much a lineage had grown before treatment matters more than what its cells were expressing, and the part of expression that survives adjustment is small, or for two of the six not distinguishable from nothing. Aviv (2026) reaches the same conclusion about abundance independently, and then shows that a condition-specific component does remain once abundance and condition are held fixed. We read the two together as follows: the axis that dominates is not about the drug, and the part that is about the drug is real but small. Both halves matter. A study that reports only the first half will conclude there is nothing there, and a study that reports only the second will overstate what a pre-treatment profile can do.</w:t>
      </w:r>
    </w:p>
    <w:p>
      <w:pPr>
        <w:spacing w:after="160" w:line="360"/>
        <w:jc w:val="both"/>
      </w:pPr>
      <w:r>
        <w:t xml:space="preserve">The practical question is what to do when no untreated arm exists, which is almost always. We tested two substitutes and neither reproduced the control arm: a label-free density score inflated the drug-specific gain two- to three-fold, and a baseline built from the other treated arms almost erased it, because those arms carry the drug-specific component too. They failed in opposite directions and bracketed the truth in all three ReSisTrace arms, but that ordering is not guaranteed and did not hold in four of the six treatments of the second system. Our conclusion is deliberately modest: a substitute can tell you that a reported pre-resistance signal is mostly fitness, and cannot tell you by how much. The only way to get the number is to carry an untreated arm through the same protocol, which costs a fraction of the experiment and is the single change we would ask of future designs.</w:t>
      </w:r>
    </w:p>
    <w:p>
      <w:pPr>
        <w:spacing w:after="160" w:line="360"/>
        <w:jc w:val="both"/>
      </w:pPr>
      <w:r>
        <w:t xml:space="preserve">Checking the estimators against synthetic experiments where the answer is known was worth more than we expected, because it found a limitation we would otherwise have reported as a result. The size-matched gain is recovered with little bias and does not appear when it is absent. The sister ceiling is accurate only when the sequenced sister bears on its sibling's fate through the state the two share, and when fate depends instead on the treated cell's own realised state the bound is too generous, so it should be read as an upper bound on what a perfect model could reach and therefore a lower bound on how much is lost. The interval around the drug-specific gain was the clearest case: resampling families to re-score models that were fitted once describes only how much the evaluation would move, and covers the truth well below the nominal rate. The package therefore also provides an interval that refits the whole procedure inside each replicate, which is slower by the number of replicates, and we would encourage anyone putting a bootstrap around a cross-validated score to check its coverage against a known answer before quoting it.</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a lineage can go unseen because its cells died or because it was not sampled. Our barcode assignment there is also simpler than the original authors', so our clone counts are not identical to theirs, although the conclusions held across the thresholds we tried.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the intervals quoted here should therefore be read as a lower bound on the uncertainty. The package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has a latent state z ~ N(0, I) in ten dimensions; its two sisters are measured as z plus independent Gaussian noise of standard deviation s, so the correlation between sisters is 1/(1 + s²) per dimension. The treated sister's survival follows a liability built from u = f·x_treated + (1 − f)·z, where f decides whether fate is driven by the treated cell's own realised state (f = 1) or only by the state the sisters share (f = 0). The liability is a·u₁ in the control arm and a·u₁ + b·u₂ in the drug arm, plus independent noise scaled so the total variance is one, so the first dimension is a generic fitness axis and the second is drug-specific. A cell is a positive when its liability exceeds the (1 − prevalence) quantile, and a fraction of true positives is then flipped to negative to imitate a sister that was not recovered. Because the measurement noise is Gaussian and independent of z, the best possible drug score is a·x₁ + b·x₂ and the best possible fitness score is x₁, so the population value of every reported quantity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 k/√n_eff, where n_eff is the harmonic mean of the drug and control family counts, since the drug model is trained down to the control arm's size and adding drug families alone therefore stops helping. Rarer positives were taken to scale the error as 1/√(p(1 − p)). The resulting calculator returns the families per arm needed to detect a given gain at a given power, and is provided in the package.</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Features, cross-validation and the label-free density score were computed exactly as for the other external data sets, with lineages as groups.</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S1–S27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60"/>
        <w:jc w:val="both"/>
      </w:pPr>
      <w:r>
        <w:rPr>
          <w:b/>
          <w:bCs/>
        </w:rPr>
        <w:t xml:space="preserve">Figure 8. Substitutes for an untreated arm.</w:t>
      </w:r>
      <w: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00275"/>
                    </a:xfrm>
                    <a:prstGeom prst="rect">
                      <a:avLst/>
                    </a:prstGeom>
                  </pic:spPr>
                </pic:pic>
              </a:graphicData>
            </a:graphic>
          </wp:inline>
        </w:drawing>
      </w:r>
    </w:p>
    <w:p>
      <w:pPr>
        <w:spacing w:after="160" w:line="360"/>
        <w:jc w:val="both"/>
      </w:pPr>
      <w:r>
        <w:rPr>
          <w:b/>
          <w:bCs/>
        </w:rPr>
        <w:t xml:space="preserve">Figure 7. A second lineage system with six treatments (Schaff et al., 2026).</w:t>
      </w:r>
      <w:r>
        <w:t xml:space="preserve"> (a) AUROC for predicting whether an untreated cell's lineage is detected again after each treatment, using clone size before treatment, expression (50 principal components), both, and the label-free density score; lineage-grouped cross-validation, error bars are 95% lineage-bootstrap intervals. (b) AUROC when the out-of-fold score trained on one treatment's labels is used to rank another treatment's labels. (c) Expression AUROC before and after residualising on log clone size, with the likelihood-ratio test for adding expression to clone size.</w:t>
      </w:r>
    </w:p>
    <w:p>
      <w:pPr>
        <w:keepNext/>
        <w:spacing w:before="240"/>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057400"/>
                    </a:xfrm>
                    <a:prstGeom prst="rect">
                      <a:avLst/>
                    </a:prstGeom>
                  </pic:spPr>
                </pic:pic>
              </a:graphicData>
            </a:graphic>
          </wp:inline>
        </w:drawing>
      </w:r>
    </w:p>
    <w:p>
      <w:pPr>
        <w:spacing w:after="160" w:line="360"/>
        <w:jc w:val="both"/>
      </w:pPr>
      <w:r>
        <w:rPr>
          <w:b/>
          <w:bCs/>
        </w:rPr>
        <w:t xml:space="preserve">Figure 9. The estimators checked against a known answer.</w:t>
      </w:r>
      <w:r>
        <w:t xml:space="preserve"> (a) Estimated against true drug-specific gain across synthetic settings; the line is equality and bars are the spread over 25 independent experiments. (b) Coverage of the nominal 95% interval in each setting; the dashed line is 0.95. (c) Estimated minus actual AUROC if the treated sister were scored, as fate moves from depending on the treated cell's own state (left, the estimator's assumption) to depending only on the state the sisters share (right).</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af992175d86d04fff818154d43ec297ded3366e0.png"/><Relationship Id="rId15" Type="http://schemas.openxmlformats.org/officeDocument/2006/relationships/image" Target="media/d03f79f7f1a7b4c81b87df29939c2260ca1eb48f.png"/><Relationship Id="rId16" Type="http://schemas.openxmlformats.org/officeDocument/2006/relationships/image" Target="media/2880dbb90f672f21cf4aa33502c14c5caf1d452f.png"/><Relationship Id="rId17" Type="http://schemas.openxmlformats.org/officeDocument/2006/relationships/image" Target="media/bed5b0a45f220230183a2ca7b012b2348d506d65.png"/><Relationship Id="rId18" Type="http://schemas.openxmlformats.org/officeDocument/2006/relationships/image" Target="media/e1b904258c6d38890c7ed3d9ad8226ad466a44c4.png"/><Relationship Id="rId19" Type="http://schemas.openxmlformats.org/officeDocument/2006/relationships/image" Target="media/e55f7527b4a39ef83ecd1f8bd6e08c361f5d4df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2026-09-27T14:23:21.796Z</dcterms:created>
  <dcterms:modified xsi:type="dcterms:W3CDTF">2026-09-27T14:23:21.801Z</dcterms:modified>
</cp:coreProperties>
</file>

<file path=docProps/custom.xml><?xml version="1.0" encoding="utf-8"?>
<Properties xmlns="http://schemas.openxmlformats.org/officeDocument/2006/custom-properties" xmlns:vt="http://schemas.openxmlformats.org/officeDocument/2006/docPropsVTypes"/>
</file>