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Two independent lineage-tracing data sets, the TCGA ovarian cancer cohort and a cohort of 11 patients sampled before and after neoadjuvant chemotherapy served as external checks.</w:t>
      </w:r>
    </w:p>
    <w:p>
      <w:pPr>
        <w:spacing w:after="160" w:line="360"/>
        <w:jc w:val="both"/>
      </w:pPr>
      <w:r>
        <w:rPr>
          <w:b/>
          <w:bCs/>
        </w:rPr>
        <w:t xml:space="preserve">Results.</w:t>
      </w:r>
      <w:r>
        <w:t xml:space="preserve"> A logistic model on 50 principal components predicted the sister's fate with AUROC 0.72–0.75 in the drug arms (label-permutation p &lt; 0.01). On the olaparib arm, under the same balanced protocol, this was well above the AUROC of about 0.50–0.60 reported for existing drug-response predictors, and neither tuning, pooling arms, gradient boosting, a graph neural network with sister-pair pretraining nor embeddings from a single-cell foundation model improved on it (graph network 0.70–0.73 across three seeds; Geneformer 0.67–0.68). However, a model trained only on the untreated control arm predicted the drug-arm labels almost as well (AUROC 0.70–0.73). With training size matched, the drug-specific gain over this fitness model was 0.014–0.025 AUROC (95% confidence intervals excluding zero in every drug arm) and fell to 0.003 for NK cells once depth and mitochondrial content were removed (95% CI −0.010 to 0.016). Beyond the fitness axis, pre-resistant cells showed lower E2F, mitotic-spindle and MYC-target expression. A label-free score of how typical a cell's state is reached AUROC 0.63–0.70 on its own. Sister discordance alone cost about 0.09–0.12 AUROC. Inferred copy-number subclones did not explain the signal. In two external data sets, clone size predicted lineage survival far better than expression, and ReSisTrace models transferred at or near chance. No derived signature was associated with outcome in TCGA ovarian tumours after correction for multiple testing, and in 11 patients sampled before and after neoadjuvant chemotherapy the drug signatures were not enriched in the cells that persisted, while the fitness signature was depleted.</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even a perfect model of the sequenced cell would be limited by the imperfect similarity of sisters. Untreated controls and sister-based ceilings should accompany claims that pre-existing states predict drug tolerance.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(95% CI 0.001–0.026), 0.025 for olaparib (0.012–0.039) and 0.017 for NK (0.003–0.031) (Fig. 3c, Table S19). The spread across the ten training subsets was small (s.d. 0.003–0.004). The gain was essentially unchanged after removing cell cycle (0.014, 0.025, 0.014). After removing depth and mitochondrial content as well, it was 0.012 for carboplatin (−0.001 to 0.025), 0.021 for olaparib (0.008–0.035) and 0.003 for NK (−0.010 to 0.016). For NK cells, therefore, nothing drug-specific could be distinguished from zero.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We also replaced the principal components with 768-dimensional cell embeddings from Geneformer, a transformer pretrained on 104 million human single-cell transcriptomes and continually pretrained on about 14 million cancer transcriptomes (Theodoris et al., 2023; Chen et al., 2026). The foundation model did not extract more signal than 50 principal components: it reached 0.671–0.683 in the drug arms, below the 0.723–0.747 of the linear model, and its fitness model still explained most of that (0.634–0.663), leaving a size-matched gain of 0.017–0.030. Across all four alternative representations, drug-arm models reached 0.671–0.746, the control-trained model 0.634–0.722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statistically robust and biologically coherent, pointing to lower proliferation among otherwise fit cells, but it is worth one to three points of AUROC.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external data sets show how strongly clone-level designs are shaped by sampling. In both,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Finally, the graph model was tested with one architecture and modest tuning, and the foundation model was used as a frozen feature extractor rather than fine-tuned, which may not be the best use of it. A different design might do better, but the near-identical performance of very different models, from logistic regression to a 104-million-parameter transformer,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S1–S21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bed5b0a45f220230183a2ca7b012b2348d506d65.png"/><Relationship Id="rId15" Type="http://schemas.openxmlformats.org/officeDocument/2006/relationships/image" Target="media/e1b904258c6d38890c7ed3d9ad8226ad466a44c4.png"/><Relationship Id="rId16" Type="http://schemas.openxmlformats.org/officeDocument/2006/relationships/image" Target="media/e55f7527b4a39ef83ecd1f8bd6e08c361f5d4df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2026-09-27T08:45:29.183Z</dcterms:created>
  <dcterms:modified xsi:type="dcterms:W3CDTF">2026-09-27T08:45:29.184Z</dcterms:modified>
</cp:coreProperties>
</file>

<file path=docProps/custom.xml><?xml version="1.0" encoding="utf-8"?>
<Properties xmlns="http://schemas.openxmlformats.org/officeDocument/2006/custom-properties" xmlns:vt="http://schemas.openxmlformats.org/officeDocument/2006/docPropsVTypes"/>
</file>