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360E2"/>
          <w:sz w:val="40"/>
        </w:rPr>
        <w:t>Climate Change</w:t>
      </w:r>
    </w:p>
    <w:p>
      <w:pPr>
        <w:jc w:val="center"/>
      </w:pPr>
      <w:r>
        <w:rPr>
          <w:rFonts w:ascii="Calibri" w:hAnsi="Calibri"/>
          <w:color w:val="888888"/>
          <w:sz w:val="20"/>
        </w:rPr>
        <w:t>General  •  July 14, 2026  •  Generated by Cognify AI</w:t>
      </w:r>
    </w:p>
    <w:p/>
    <w:p>
      <w:pPr>
        <w:pStyle w:val="Heading1"/>
      </w:pPr>
      <w:r>
        <w:rPr>
          <w:color w:val="1360E2"/>
        </w:rPr>
        <w:t>Climate Change: Causes, Impacts, and Solutions</w:t>
      </w:r>
    </w:p>
    <w:p/>
    <w:p>
      <w:pPr>
        <w:pStyle w:val="Heading2"/>
      </w:pPr>
      <w:r>
        <w:rPr>
          <w:color w:val="1360E2"/>
        </w:rPr>
        <w:t>Introduction</w:t>
      </w:r>
    </w:p>
    <w:p/>
    <w:p>
      <w:r>
        <w:rPr>
          <w:rFonts w:ascii="Calibri" w:hAnsi="Calibri"/>
          <w:sz w:val="22"/>
        </w:rPr>
        <w:t>Climate change stands as one of the most pressing challenges of the twenty‑first century, shaping the environmental, economic, and social trajectories of nations worldwide. While the phenomenon has been documented for centuries, the rapid acceleration of global warming over the past few decades has transformed it from a scientific curiosity into an urgent policy imperative. This essay examines the principal drivers of climate change, delineates its most consequential impacts, and evaluates a range of mitigation and adaptation strategies that can steer humanity toward a more sustainable future. By integrating scientific evidence with socio‑economic considerations, the discussion underscores that effective action requires coordinated effort across governments, businesses, and civil society.</w:t>
      </w:r>
    </w:p>
    <w:p/>
    <w:p>
      <w:pPr>
        <w:pStyle w:val="Heading2"/>
      </w:pPr>
      <w:r>
        <w:rPr>
          <w:color w:val="1360E2"/>
        </w:rPr>
        <w:t>Causes</w:t>
      </w:r>
    </w:p>
    <w:p/>
    <w:p>
      <w:r>
        <w:rPr>
          <w:rFonts w:ascii="Calibri" w:hAnsi="Calibri"/>
          <w:sz w:val="22"/>
        </w:rPr>
        <w:t>The primary cause of contemporary climate change is the enhanced greenhouse effect, a process in which atmospheric gases trap infrared radiation, thereby warming the planet. Human activities have dramatically increased the concentration of these gases—most notably carbon dioxide (CO₂), methane (CH₄), and nitrous oxide (N₂O)—since the Industrial Revolution.</w:t>
      </w:r>
    </w:p>
    <w:p/>
    <w:p>
      <w:pPr>
        <w:pStyle w:val="ListNumber"/>
      </w:pPr>
      <w:r>
        <w:rPr>
          <w:rFonts w:ascii="Calibri" w:hAnsi="Calibri"/>
          <w:sz w:val="22"/>
        </w:rPr>
        <w:t>**Fossil‑fuel combustion**: Burning coal, oil, and natural gas for electricity, transportation, and industry releases roughly 75 % of global CO₂ emissions. Power plants, internal‑combustion engines, and industrial furnaces emit vast quantities of carbon, while also producing co‑pollutants such as sulfur dioxide and particulate matter that exacerbate atmospheric warming.</w:t>
      </w:r>
    </w:p>
    <w:p/>
    <w:p>
      <w:pPr>
        <w:pStyle w:val="ListNumber"/>
      </w:pPr>
      <w:r>
        <w:rPr>
          <w:rFonts w:ascii="Calibri" w:hAnsi="Calibri"/>
          <w:sz w:val="22"/>
        </w:rPr>
        <w:t>**Deforestation and land‑use change**: Forests act as carbon sinks, sequestering atmospheric CO₂ through photosynthesis. Large‑scale clearing of tropical rainforests for agriculture, timber, and urban expansion not only eliminates this sink but also releases stored carbon when trees are burned or decay. The Food and Agriculture Organization estimates that land‑use change contributes about 10 % of total anthropogenic CO₂ emissions.</w:t>
      </w:r>
    </w:p>
    <w:p/>
    <w:p>
      <w:pPr>
        <w:pStyle w:val="ListNumber"/>
      </w:pPr>
      <w:r>
        <w:rPr>
          <w:rFonts w:ascii="Calibri" w:hAnsi="Calibri"/>
          <w:sz w:val="22"/>
        </w:rPr>
        <w:t>**Agricultural practices**: Livestock production generates methane through enteric fermentation, while rice paddies emit CH₄ under anaerobic conditions. Synthetic fertilizers release nitrous oxide, a greenhouse gas with a global warming potential roughly 300 times that of CO₂ over a 100‑year horizon.</w:t>
      </w:r>
    </w:p>
    <w:p/>
    <w:p>
      <w:pPr>
        <w:pStyle w:val="ListNumber"/>
      </w:pPr>
      <w:r>
        <w:rPr>
          <w:rFonts w:ascii="Calibri" w:hAnsi="Calibri"/>
          <w:sz w:val="22"/>
        </w:rPr>
        <w:t>**Industrial processes**: Cement manufacturing, steel production, and the use of fluorinated gases (e.g., hydrofluorocarbons) introduce additional potent greenhouse gases. Although these sectors represent a smaller share of total emissions, their high global warming potentials make them disproportionately influential.</w:t>
      </w:r>
    </w:p>
    <w:p/>
    <w:p>
      <w:r>
        <w:rPr>
          <w:rFonts w:ascii="Calibri" w:hAnsi="Calibri"/>
          <w:sz w:val="22"/>
        </w:rPr>
        <w:t>Collectively, these drivers have elevated atmospheric CO₂ concentrations from pre‑industrial levels of about 280 ppm to over 420 ppm today—a rise of more than 50 %. This increase correlates closely with the observed rise in global mean surface temperature of approximately 1.2 °C above pre‑industrial averages, confirming the causal link between human activity and climate change.</w:t>
      </w:r>
    </w:p>
    <w:p/>
    <w:p>
      <w:pPr>
        <w:pStyle w:val="Heading2"/>
      </w:pPr>
      <w:r>
        <w:rPr>
          <w:color w:val="1360E2"/>
        </w:rPr>
        <w:t>Impacts</w:t>
      </w:r>
    </w:p>
    <w:p/>
    <w:p>
      <w:r>
        <w:rPr>
          <w:rFonts w:ascii="Calibri" w:hAnsi="Calibri"/>
          <w:sz w:val="22"/>
        </w:rPr>
        <w:t>The consequences of a warming climate are multifaceted, affecting natural systems and human societies alike. Three interrelated impact domains illustrate the breadth of the challenge.</w:t>
      </w:r>
    </w:p>
    <w:p/>
    <w:p>
      <w:r>
        <w:rPr>
          <w:rFonts w:ascii="Calibri" w:hAnsi="Calibri"/>
          <w:sz w:val="22"/>
        </w:rPr>
        <w:t>### 1. Environmental Degradation</w:t>
      </w:r>
    </w:p>
    <w:p/>
    <w:p>
      <w:r>
        <w:rPr>
          <w:rFonts w:ascii="Calibri" w:hAnsi="Calibri"/>
          <w:sz w:val="22"/>
        </w:rPr>
        <w:t>Rising temperatures accelerate the melting of polar ice caps and mountain glaciers, contributing to sea‑level rise. The Intergovernmental Panel on Climate Change (IPCC) projects a global mean sea‑level increase of 0.3–1.0 m by 2100 under high‑emission scenarios, threatening low‑lying coastal communities and island nations. Ocean warming also intensifies stratification, reducing the ocean’s capacity to absorb CO₂ and exacerbating acidification, which harms coral reefs, shellfish, and other marine organisms.</w:t>
      </w:r>
    </w:p>
    <w:p/>
    <w:p>
      <w:r>
        <w:rPr>
          <w:rFonts w:ascii="Calibri" w:hAnsi="Calibri"/>
          <w:sz w:val="22"/>
        </w:rPr>
        <w:t>Terrestrial ecosystems experience shifts in species distributions, phenology, and productivity. Many plant and animal species are forced to migrate poleward or to higher elevations, while others face heightened extinction risk due to habitat loss and altered fire regimes. The increased frequency and intensity of wildfires in regions such as the western United States and the Mediterranean exemplify how climate‑driven feedback loops can amplify ecological damage.</w:t>
      </w:r>
    </w:p>
    <w:p/>
    <w:p>
      <w:r>
        <w:rPr>
          <w:rFonts w:ascii="Calibri" w:hAnsi="Calibri"/>
          <w:sz w:val="22"/>
        </w:rPr>
        <w:t>### 2. Socio‑Economic Consequences</w:t>
      </w:r>
    </w:p>
    <w:p/>
    <w:p>
      <w:r>
        <w:rPr>
          <w:rFonts w:ascii="Calibri" w:hAnsi="Calibri"/>
          <w:sz w:val="22"/>
        </w:rPr>
        <w:t>Climate change imposes substantial economic costs through damage to infrastructure, reduced agricultural yields, and heightened health risks. Heatwaves increase mortality, particularly among vulnerable populations such as the elderly and outdoor workers. Vector‑borne diseases (e.g., malaria, dengue) expand their geographic range as warmer temperatures create suitable habitats for mosquitoes and ticks.</w:t>
      </w:r>
    </w:p>
    <w:p/>
    <w:p>
      <w:r>
        <w:rPr>
          <w:rFonts w:ascii="Calibri" w:hAnsi="Calibri"/>
          <w:sz w:val="22"/>
        </w:rPr>
        <w:t>Agriculture is especially sensitive to temperature and precipitation variability. While some high‑latitude regions may experience modest yield gains, the majority of the world’s major grain‑producing areas—South Asia, sub‑Saharan Africa, and the Americas—are projected to suffer yield reductions due to heat stress, drought, and extreme weather events. The Food and Agriculture Organization estimates that climate‑related losses could jeopardize the food security of up to 800 million people by 2050.</w:t>
      </w:r>
    </w:p>
    <w:p/>
    <w:p>
      <w:r>
        <w:rPr>
          <w:rFonts w:ascii="Calibri" w:hAnsi="Calibri"/>
          <w:sz w:val="22"/>
        </w:rPr>
        <w:t>### 3. Geopolitical and Security Risks</w:t>
      </w:r>
    </w:p>
    <w:p/>
    <w:p>
      <w:r>
        <w:rPr>
          <w:rFonts w:ascii="Calibri" w:hAnsi="Calibri"/>
          <w:sz w:val="22"/>
        </w:rPr>
        <w:t>Resource scarcity, forced migration, and competition over water and arable land can heighten geopolitical tensions. Climate‑induced displacement is already evident in regions such as the Sahel, where desertification drives rural populations toward urban centers and across borders. The United Nations estimates that climate change could generate up to 25 million climate refugees annually by 2050, amplifying the need for coordinated international response mechanisms.</w:t>
      </w:r>
    </w:p>
    <w:p/>
    <w:p>
      <w:pPr>
        <w:pStyle w:val="Heading2"/>
      </w:pPr>
      <w:r>
        <w:rPr>
          <w:color w:val="1360E2"/>
        </w:rPr>
        <w:t>Solutions</w:t>
      </w:r>
    </w:p>
    <w:p/>
    <w:p>
      <w:r>
        <w:rPr>
          <w:rFonts w:ascii="Calibri" w:hAnsi="Calibri"/>
          <w:sz w:val="22"/>
        </w:rPr>
        <w:t>Addressing climate change requires a dual approach: mitigation to curb greenhouse‑gas emissions and adaptation to manage unavoidable impacts. Effective solutions span technological innovation, policy reform, and behavioral change.</w:t>
      </w:r>
    </w:p>
    <w:p/>
    <w:p>
      <w:r>
        <w:rPr>
          <w:rFonts w:ascii="Calibri" w:hAnsi="Calibri"/>
          <w:sz w:val="22"/>
        </w:rPr>
        <w:t>### 1. Mitigation Strategies</w:t>
      </w:r>
    </w:p>
    <w:p/>
    <w:p>
      <w:pPr>
        <w:pStyle w:val="ListBullet"/>
      </w:pPr>
      <w:r>
        <w:rPr>
          <w:rFonts w:ascii="Calibri" w:hAnsi="Calibri"/>
          <w:sz w:val="22"/>
        </w:rPr>
        <w:t>**Decarbonizing the energy sector**: Transitioning from fossil fuels to renewable energy sources—solar, wind, hydro, and geothermal—offers the most immediate emissions reduction pathway. The International Renewable Energy Agency reports that renewables could supply 86 % of global electricity by 2050, cutting CO₂ emissions by up to 70 % relative to current trajectories. Complementary measures such as grid modernization, energy storage, and demand‑side management are essential to ensure reliability.</w:t>
      </w:r>
    </w:p>
    <w:p/>
    <w:p>
      <w:pPr>
        <w:pStyle w:val="ListBullet"/>
      </w:pPr>
      <w:r>
        <w:rPr>
          <w:rFonts w:ascii="Calibri" w:hAnsi="Calibri"/>
          <w:sz w:val="22"/>
        </w:rPr>
        <w:t>**Carbon pricing and regulatory frameworks**: Implementing carbon taxes or cap‑and‑trade systems internalizes the social cost of emissions, incentivizing low‑carbon investments. The European Union Emissions Trading System, for example, has contributed to a 35 % decline in emissions from covered sectors since its inception.</w:t>
      </w:r>
    </w:p>
    <w:p/>
    <w:p>
      <w:pPr>
        <w:pStyle w:val="ListBullet"/>
      </w:pPr>
      <w:r>
        <w:rPr>
          <w:rFonts w:ascii="Calibri" w:hAnsi="Calibri"/>
          <w:sz w:val="22"/>
        </w:rPr>
        <w:t>**Nature‑based solutions**: Restoring forests, wetlands, and mangroves enhances carbon sequestration while delivering co‑benefits for biodiversity and flood protection. Afforestation projects, when carefully planned to avoid monocultures, can capture up to 10 GtCO₂ annually—a significant offset relative to global emissions.</w:t>
      </w:r>
    </w:p>
    <w:p/>
    <w:p>
      <w:pPr>
        <w:pStyle w:val="ListBullet"/>
      </w:pPr>
      <w:r>
        <w:rPr>
          <w:rFonts w:ascii="Calibri" w:hAnsi="Calibri"/>
          <w:sz w:val="22"/>
        </w:rPr>
        <w:t>**Industrial innovation**: Deploying carbon capture, utilization, and storage (CCUS) technologies can mitigate emissions from hard‑to‑abate sectors such as cement and steel. Emerging low‑carbon materials (e.g., geopolymer cement) and alternative production pathways (e.g., green hydrogen for steelmaking) further expand mitigation options.</w:t>
      </w:r>
    </w:p>
    <w:p/>
    <w:p>
      <w:r>
        <w:rPr>
          <w:rFonts w:ascii="Calibri" w:hAnsi="Calibri"/>
          <w:sz w:val="22"/>
        </w:rPr>
        <w:t>### 2. Adaptation Measures</w:t>
      </w:r>
    </w:p>
    <w:p/>
    <w:p>
      <w:pPr>
        <w:pStyle w:val="ListBullet"/>
      </w:pPr>
      <w:r>
        <w:rPr>
          <w:rFonts w:ascii="Calibri" w:hAnsi="Calibri"/>
          <w:sz w:val="22"/>
        </w:rPr>
        <w:t>**Infrastructure resilience**: Designing flood‑resilient buildings, elevating critical utilities, and reinforcing coastal defenses reduce vulnerability to sea‑level rise and extreme weather.</w:t>
      </w:r>
    </w:p>
    <w:p/>
    <w:p>
      <w:pPr>
        <w:pStyle w:val="ListBullet"/>
      </w:pPr>
      <w:r>
        <w:rPr>
          <w:rFonts w:ascii="Calibri" w:hAnsi="Calibri"/>
          <w:sz w:val="22"/>
        </w:rPr>
        <w:t>**Climate‑smart agriculture**: Practices such as drought‑tolerant crop varieties, precision irrigation, and agroforestry improve productivity under changing climatic conditions while enhancing soil carbon storage.</w:t>
      </w:r>
    </w:p>
    <w:p/>
    <w:p>
      <w:pPr>
        <w:pStyle w:val="ListBullet"/>
      </w:pPr>
      <w:r>
        <w:rPr>
          <w:rFonts w:ascii="Calibri" w:hAnsi="Calibri"/>
          <w:sz w:val="22"/>
        </w:rPr>
        <w:t>**Public health preparedness**: Strengthening early‑warning systems for heatwaves, expanding access to clean water, and bolstering disease surveillance mitigate health impacts.</w:t>
      </w:r>
    </w:p>
    <w:p/>
    <w:p>
      <w:pPr>
        <w:pStyle w:val="ListBullet"/>
      </w:pPr>
      <w:r>
        <w:rPr>
          <w:rFonts w:ascii="Calibri" w:hAnsi="Calibri"/>
          <w:sz w:val="22"/>
        </w:rPr>
        <w:t>**Community‑driven planning**: Engaging local stakeholders in risk assessments and adaptation planning ensures that solutions are culturally appropriate and socially equitable.</w:t>
      </w:r>
    </w:p>
    <w:p/>
    <w:p>
      <w:r>
        <w:rPr>
          <w:rFonts w:ascii="Calibri" w:hAnsi="Calibri"/>
          <w:sz w:val="22"/>
        </w:rPr>
        <w:t>### 3. International Cooperation</w:t>
      </w:r>
    </w:p>
    <w:p/>
    <w:p>
      <w:r>
        <w:rPr>
          <w:rFonts w:ascii="Calibri" w:hAnsi="Calibri"/>
          <w:sz w:val="22"/>
        </w:rPr>
        <w:t>The Paris Agreement provides a global framework for limiting warming to well below 2 °C, with a long‑term goal of 1.5 °C. Achieving these targets hinges on nationally determined contributions (NDCs) that are increasingly ambitious, as well as financial mechanisms—such as the Green Climate Fund—that support mitigation and adaptation in developing nations. Strengthening technology transfer, capacity building, and transparent reporting will be crucial for collective progress.</w:t>
      </w:r>
    </w:p>
    <w:p/>
    <w:p>
      <w:pPr>
        <w:pStyle w:val="Heading2"/>
      </w:pPr>
      <w:r>
        <w:rPr>
          <w:color w:val="1360E2"/>
        </w:rPr>
        <w:t>Conclusion</w:t>
      </w:r>
    </w:p>
    <w:p/>
    <w:p>
      <w:r>
        <w:rPr>
          <w:rFonts w:ascii="Calibri" w:hAnsi="Calibri"/>
          <w:sz w:val="22"/>
        </w:rPr>
        <w:t>Climate change is a complex, systemic challenge rooted in anthropogenic greenhouse‑gas emissions, with far‑reaching environmental, economic, and security implications. The evidence is unequivocal: continued reliance on fossil fuels, deforestation, and unsustainable agricultural practices will exacerbate warming, jeopardizing ecosystems and human well‑being. Yet the same scientific understanding that illuminates the problem also points to a suite of viable solutions. Decarbonizing energy systems, implementing robust carbon pricing, protecting and restoring natural carbon sinks, and investing in resilient infrastructure can together steer the planet toward a more stable climate.</w:t>
      </w:r>
    </w:p>
    <w:p/>
    <w:p>
      <w:r>
        <w:rPr>
          <w:rFonts w:ascii="Calibri" w:hAnsi="Calibri"/>
          <w:sz w:val="22"/>
        </w:rPr>
        <w:t>Realizing this vision demands coordinated action across scales—from individual lifestyle choices to multinational policy frameworks. By embracing both mitigation and adaptation, and by fostering inclusive international cooperation, societies can not only curb the trajectory of climate change but also seize the opportunity to build a more sustainable, equitable future. The urgency is clear; the tools are available. The decisive factor now is collective will.</w:t>
      </w:r>
    </w:p>
    <w:p/>
    <w:p>
      <w:pPr>
        <w:jc w:val="center"/>
      </w:pPr>
      <w:r>
        <w:rPr>
          <w:i/>
          <w:color w:val="888888"/>
          <w:sz w:val="18"/>
        </w:rPr>
        <w:t>— Prepared with Cognify AI Assistant (CoCo)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