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360E2"/>
          <w:sz w:val="40"/>
        </w:rPr>
        <w:t>Climate Change</w:t>
      </w:r>
    </w:p>
    <w:p>
      <w:pPr>
        <w:jc w:val="center"/>
      </w:pPr>
      <w:r>
        <w:rPr>
          <w:rFonts w:ascii="Calibri" w:hAnsi="Calibri"/>
          <w:color w:val="888888"/>
          <w:sz w:val="20"/>
        </w:rPr>
        <w:t>Environmental Science  •  August 03, 2026  •  Generated by Cognify AI</w:t>
      </w:r>
    </w:p>
    <w:p/>
    <w:p>
      <w:pPr>
        <w:pStyle w:val="Heading1"/>
      </w:pPr>
      <w:r>
        <w:rPr>
          <w:color w:val="1360E2"/>
        </w:rPr>
        <w:t>Introduction</w:t>
      </w:r>
    </w:p>
    <w:p>
      <w:r>
        <w:rPr>
          <w:rFonts w:ascii="Calibri" w:hAnsi="Calibri"/>
          <w:sz w:val="22"/>
        </w:rPr>
        <w:t>Climate change represents one of the most pressing environmental challenges of the twenty‑first century. Driven by alterations in the Earth’s energy balance, it manifests as rising temperatures, shifting precipitation patterns, and increasing frequency of extreme weather events. Understanding the underlying causes, the breadth of ecological and societal impacts, and the range of viable mitigation strategies is essential for informed policy and effective stewardship of the planet’s resources.</w:t>
      </w:r>
    </w:p>
    <w:p/>
    <w:p>
      <w:pPr>
        <w:pStyle w:val="Heading1"/>
      </w:pPr>
      <w:r>
        <w:rPr>
          <w:color w:val="1360E2"/>
        </w:rPr>
        <w:t>Causes</w:t>
      </w:r>
    </w:p>
    <w:p>
      <w:r>
        <w:rPr>
          <w:rFonts w:ascii="Calibri" w:hAnsi="Calibri"/>
          <w:sz w:val="22"/>
        </w:rPr>
        <w:t>The primary driver of contemporary climate change is the anthropogenic increase in greenhouse gases (GHGs) such as carbon dioxide (CO₂), methane (CH₄), and nitrous oxide (N₂O). Fossil‑fuel combustion for energy, transportation, and industry releases vast quantities of CO₂, while agricultural practices and waste management contribute significant CH₄ and N₂O emissions. Deforestation further amplifies atmospheric CO₂ by reducing the biosphere’s capacity to sequester carbon. Although natural processes—volcanic activity, solar variability, and oceanic cycles—also influence climate, their contributions are comparatively minor relative to human‑induced forcings.</w:t>
      </w:r>
    </w:p>
    <w:p/>
    <w:p>
      <w:pPr>
        <w:pStyle w:val="Heading1"/>
      </w:pPr>
      <w:r>
        <w:rPr>
          <w:color w:val="1360E2"/>
        </w:rPr>
        <w:t>Impacts</w:t>
      </w:r>
    </w:p>
    <w:p>
      <w:r>
        <w:rPr>
          <w:rFonts w:ascii="Calibri" w:hAnsi="Calibri"/>
          <w:sz w:val="22"/>
        </w:rPr>
        <w:t>The consequences of a warming climate are multidimensional. Ecologically, rising temperatures drive species range shifts, phenological mismatches, and coral bleaching, threatening biodiversity and ecosystem services. Hydrologically, altered precipitation intensifies droughts in arid regions and floods in others, jeopardizing water security. Socio‑economically, climate‑related hazards exacerbate food insecurity, increase health risks from heat stress and vector‑borne diseases, and impose substantial economic costs through damage to infrastructure and loss of productivity. Moreover, vulnerable populations—often those least responsible for emissions—bear disproportionate burdens, raising profound equity concerns.</w:t>
      </w:r>
    </w:p>
    <w:p/>
    <w:p>
      <w:pPr>
        <w:pStyle w:val="Heading1"/>
      </w:pPr>
      <w:r>
        <w:rPr>
          <w:color w:val="1360E2"/>
        </w:rPr>
        <w:t>Mitigation Strategies</w:t>
      </w:r>
    </w:p>
    <w:p>
      <w:r>
        <w:rPr>
          <w:rFonts w:ascii="Calibri" w:hAnsi="Calibri"/>
          <w:sz w:val="22"/>
        </w:rPr>
        <w:t>Effective mitigation requires a combination of technological, policy, and behavioral interventions. Transitioning to low‑carbon energy systems—renewable electricity, nuclear power, and energy efficiency measures—addresses the largest source of CO₂. Enhancing carbon sinks through reforestation, afforestation, and soil carbon management can offset residual emissions. Carbon pricing mechanisms, such as taxes or cap‑and‑trade schemes, create market incentives for emission reductions. Finally, fostering sustainable consumption patterns and promoting climate‑smart agriculture reduce demand‑side pressures. International cooperation, epitomized by the Paris Agreement, remains critical for aligning national ambitions with the global temperature target of limiting warming to well below 2 °C.</w:t>
      </w:r>
    </w:p>
    <w:p/>
    <w:p>
      <w:pPr>
        <w:pStyle w:val="Heading1"/>
      </w:pPr>
      <w:r>
        <w:rPr>
          <w:color w:val="1360E2"/>
        </w:rPr>
        <w:t>Conclusion</w:t>
      </w:r>
    </w:p>
    <w:p>
      <w:r>
        <w:rPr>
          <w:rFonts w:ascii="Calibri" w:hAnsi="Calibri"/>
          <w:sz w:val="22"/>
        </w:rPr>
        <w:t>Climate change is a complex, human‑driven phenomenon with far‑reaching ecological and societal ramifications. By elucidating its causes, recognizing its impacts, and implementing comprehensive mitigation strategies, the global community can curtail further warming and safeguard planetary health. Continued research, robust policy frameworks, and collective action are indispensable to achieving a resilient, low‑carbon future.</w:t>
      </w:r>
    </w:p>
    <w:p/>
    <w:p>
      <w:pPr>
        <w:jc w:val="center"/>
      </w:pPr>
      <w:r>
        <w:rPr>
          <w:i/>
          <w:color w:val="888888"/>
          <w:sz w:val="18"/>
        </w:rPr>
        <w:t>— Prepared with Cognify AI Assistant (CoCo)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