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360E2"/>
          <w:sz w:val="40"/>
        </w:rPr>
        <w:t>climate change</w:t>
      </w:r>
    </w:p>
    <w:p>
      <w:pPr>
        <w:jc w:val="center"/>
      </w:pPr>
      <w:r>
        <w:rPr>
          <w:rFonts w:ascii="Calibri" w:hAnsi="Calibri"/>
          <w:color w:val="888888"/>
          <w:sz w:val="20"/>
        </w:rPr>
        <w:t>General  •  August 03, 2026  •  Generated by Cognify AI</w:t>
      </w:r>
    </w:p>
    <w:p/>
    <w:p>
      <w:pPr>
        <w:pStyle w:val="Heading1"/>
      </w:pPr>
      <w:r>
        <w:rPr>
          <w:color w:val="1360E2"/>
        </w:rPr>
        <w:t>Introduction</w:t>
      </w:r>
    </w:p>
    <w:p>
      <w:r>
        <w:rPr>
          <w:rFonts w:ascii="Calibri" w:hAnsi="Calibri"/>
          <w:sz w:val="22"/>
        </w:rPr>
        <w:t>Climate change, driven primarily by anthropogenic greenhouse gas emissions, poses unprecedented risks to global ecosystems and human societies.</w:t>
      </w:r>
    </w:p>
    <w:p/>
    <w:p>
      <w:pPr>
        <w:pStyle w:val="Heading1"/>
      </w:pPr>
      <w:r>
        <w:rPr>
          <w:color w:val="1360E2"/>
        </w:rPr>
        <w:t>Body</w:t>
      </w:r>
    </w:p>
    <w:p>
      <w:r>
        <w:rPr>
          <w:rFonts w:ascii="Calibri" w:hAnsi="Calibri"/>
          <w:sz w:val="22"/>
        </w:rPr>
        <w:t>Rising atmospheric temperatures intensify extreme weather events, leading to more frequent heatwaves, floods, and droughts.</w:t>
      </w:r>
    </w:p>
    <w:p>
      <w:r>
        <w:rPr>
          <w:rFonts w:ascii="Calibri" w:hAnsi="Calibri"/>
          <w:sz w:val="22"/>
        </w:rPr>
        <w:t>Ocean warming and acidification disrupt marine biodiversity, threatening fisheries and coastal livelihoods.</w:t>
      </w:r>
    </w:p>
    <w:p>
      <w:r>
        <w:rPr>
          <w:rFonts w:ascii="Calibri" w:hAnsi="Calibri"/>
          <w:sz w:val="22"/>
        </w:rPr>
        <w:t>Melting polar ice contributes to sea‑level rise, endangering low‑lying regions and prompting large‑scale displacement.</w:t>
      </w:r>
    </w:p>
    <w:p>
      <w:r>
        <w:rPr>
          <w:rFonts w:ascii="Calibri" w:hAnsi="Calibri"/>
          <w:sz w:val="22"/>
        </w:rPr>
        <w:t>Mitigation strategies, such as transitioning to renewable energy and enhancing carbon sinks, are essential to curb emissions.</w:t>
      </w:r>
    </w:p>
    <w:p>
      <w:r>
        <w:rPr>
          <w:rFonts w:ascii="Calibri" w:hAnsi="Calibri"/>
          <w:sz w:val="22"/>
        </w:rPr>
        <w:t>Adaptation measures, including resilient infrastructure and climate‑smart agriculture, can reduce vulnerability.</w:t>
      </w:r>
    </w:p>
    <w:p/>
    <w:p>
      <w:pPr>
        <w:pStyle w:val="Heading1"/>
      </w:pPr>
      <w:r>
        <w:rPr>
          <w:color w:val="1360E2"/>
        </w:rPr>
        <w:t>Conclusion</w:t>
      </w:r>
    </w:p>
    <w:p>
      <w:r>
        <w:rPr>
          <w:rFonts w:ascii="Calibri" w:hAnsi="Calibri"/>
          <w:sz w:val="22"/>
        </w:rPr>
        <w:t>Immediate, coordinated action is imperative to limit warming to 1.5 °C, safeguarding the planet for future generations.</w:t>
      </w:r>
    </w:p>
    <w:p/>
    <w:p>
      <w:pPr>
        <w:jc w:val="center"/>
      </w:pPr>
      <w:r>
        <w:rPr>
          <w:i/>
          <w:color w:val="888888"/>
          <w:sz w:val="18"/>
        </w:rPr>
        <w:t>— Prepared with Cognify AI Assistant (CoCo)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