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Climate Change</w:t>
      </w:r>
    </w:p>
    <w:p>
      <w:pPr>
        <w:jc w:val="center"/>
      </w:pPr>
      <w:r>
        <w:rPr>
          <w:rFonts w:ascii="Calibri" w:hAnsi="Calibri"/>
          <w:color w:val="888888"/>
          <w:sz w:val="20"/>
        </w:rPr>
        <w:t>Environmental Science  •  August 03, 2026  •  Generated by Cognify AI</w:t>
      </w:r>
    </w:p>
    <w:p/>
    <w:p>
      <w:pPr>
        <w:pStyle w:val="Heading1"/>
      </w:pPr>
      <w:r>
        <w:rPr>
          <w:color w:val="1360E2"/>
        </w:rPr>
        <w:t>Introduction</w:t>
      </w:r>
    </w:p>
    <w:p>
      <w:r>
        <w:rPr>
          <w:rFonts w:ascii="Calibri" w:hAnsi="Calibri"/>
          <w:sz w:val="22"/>
        </w:rPr>
        <w:t>Climate change stands as the most pressing environmental challenge of the twenty‑first century.  Scientific consensus confirms that the Earth’s average surface temperature has risen markedly since the mid‑20th century, driven largely by human activities that alter the composition of the atmosphere.  Understanding the origins, consequences, and viable responses to this phenomenon is essential for policymakers, scholars, and the broader public.  This essay provides a concise overview of the primary causes of climate change, its multifaceted impacts, and the spectrum of solutions required to mitigate and adapt to a warming world.</w:t>
      </w:r>
    </w:p>
    <w:p/>
    <w:p>
      <w:pPr>
        <w:pStyle w:val="Heading1"/>
      </w:pPr>
      <w:r>
        <w:rPr>
          <w:color w:val="1360E2"/>
        </w:rPr>
        <w:t>Causes</w:t>
      </w:r>
    </w:p>
    <w:p>
      <w:r>
        <w:rPr>
          <w:rFonts w:ascii="Calibri" w:hAnsi="Calibri"/>
          <w:sz w:val="22"/>
        </w:rPr>
        <w:t>The dominant driver of contemporary climate change is the increase in greenhouse gases (GHGs) such as carbon dioxide (CO₂), methane (CH₄), and nitrous oxide (N₂O).  Fossil‑fuel combustion for electricity, transportation, and industry releases vast quantities of CO₂, accounting for roughly 75 % of total anthropogenic emissions.  Agricultural practices contribute significantly to CH₄ emissions through enteric fermentation in ruminants and rice paddies, while N₂O arises from synthetic fertilizer use and manure management.  Deforestation and land‑use change exacerbate the problem by reducing the planet’s capacity to sequester carbon and by releasing stored carbon stores.  Together, these activities intensify the natural greenhouse effect, trapping more infrared radiation and elevating global temperatures.</w:t>
      </w:r>
    </w:p>
    <w:p/>
    <w:p>
      <w:pPr>
        <w:pStyle w:val="Heading1"/>
      </w:pPr>
      <w:r>
        <w:rPr>
          <w:color w:val="1360E2"/>
        </w:rPr>
        <w:t>Impacts</w:t>
      </w:r>
    </w:p>
    <w:p>
      <w:r>
        <w:rPr>
          <w:rFonts w:ascii="Calibri" w:hAnsi="Calibri"/>
          <w:sz w:val="22"/>
        </w:rPr>
        <w:t>The repercussions of a warming climate are both widespread and profound.  Rising temperatures accelerate the melting of polar ice caps and glaciers, contributing to sea‑level rise that threatens coastal communities and low‑lying islands.  Ocean warming and acidification jeopardize marine ecosystems, including coral reefs that support biodiversity and fisheries.  Terrestrial impacts include altered precipitation patterns, leading to more frequent and severe droughts in some regions and intensified flooding in others.  These hydrological shifts undermine agricultural productivity, exacerbate food insecurity, and increase the incidence of heat‑related illnesses.  Moreover, climate‑driven habitat changes facilitate the spread of vector‑borne diseases and intensify competition for natural resources, heightening the risk of social conflict and displacement.</w:t>
      </w:r>
    </w:p>
    <w:p/>
    <w:p>
      <w:pPr>
        <w:pStyle w:val="Heading1"/>
      </w:pPr>
      <w:r>
        <w:rPr>
          <w:color w:val="1360E2"/>
        </w:rPr>
        <w:t>Solutions</w:t>
      </w:r>
    </w:p>
    <w:p>
      <w:r>
        <w:rPr>
          <w:rFonts w:ascii="Calibri" w:hAnsi="Calibri"/>
          <w:sz w:val="22"/>
        </w:rPr>
        <w:t>Addressing climate change requires a dual strategy of mitigation and adaptation.  Mitigation focuses on reducing GHG emissions through a rapid transition to low‑carbon energy systems—expanding renewable electricity generation (solar, wind, hydro), improving energy efficiency, and electrifying transport.  Carbon pricing mechanisms, such as carbon taxes or cap‑and‑trade schemes, can internalize the environmental cost of emissions and incentivize cleaner technologies.  Enhancing carbon sinks through reforestation, afforestation, and sustainable land‑management practices further offsets residual emissions.  Adaptation measures aim to increase resilience: constructing flood‑defense infrastructure, adopting climate‑smart agriculture, and developing early‑warning systems for extreme weather events.  International cooperation, epitomized by the Paris Agreement’s goal to limit warming to well below 2 °C, remains essential for aligning national policies and mobilizing finance for climate action.</w:t>
      </w:r>
    </w:p>
    <w:p/>
    <w:p>
      <w:pPr>
        <w:pStyle w:val="Heading1"/>
      </w:pPr>
      <w:r>
        <w:rPr>
          <w:color w:val="1360E2"/>
        </w:rPr>
        <w:t>Conclusion</w:t>
      </w:r>
    </w:p>
    <w:p>
      <w:r>
        <w:rPr>
          <w:rFonts w:ascii="Calibri" w:hAnsi="Calibri"/>
          <w:sz w:val="22"/>
        </w:rPr>
        <w:t>Climate change is a complex, anthropogenic phenomenon that threatens ecological stability, human health, and socioeconomic well‑being.  Its primary causes lie in the unchecked release of greenhouse gases from energy production, agriculture, and land‑use change.  The resulting impacts—sea‑level rise, ecosystem disruption, and heightened extreme weather—demand urgent, coordinated responses.  By integrating mitigation strategies that curtail emissions with adaptation efforts that bolster societal resilience, the global community can steer toward a sustainable future.  The scientific evidence is clear; the imperative now is decisive, collective action.</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