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Climate Change</w:t>
      </w:r>
    </w:p>
    <w:p>
      <w:pPr>
        <w:jc w:val="center"/>
      </w:pPr>
      <w:r>
        <w:rPr>
          <w:rFonts w:ascii="Calibri" w:hAnsi="Calibri"/>
          <w:color w:val="888888"/>
          <w:sz w:val="20"/>
        </w:rPr>
        <w:t>General  •  August 03, 2026  •  Generated by Cognify AI</w:t>
      </w:r>
    </w:p>
    <w:p/>
    <w:p>
      <w:pPr>
        <w:pStyle w:val="Heading1"/>
      </w:pPr>
      <w:r>
        <w:rPr>
          <w:color w:val="1360E2"/>
        </w:rPr>
        <w:t>Introduction</w:t>
      </w:r>
    </w:p>
    <w:p>
      <w:r>
        <w:rPr>
          <w:rFonts w:ascii="Calibri" w:hAnsi="Calibri"/>
          <w:sz w:val="22"/>
        </w:rPr>
        <w:t>Climate change constitutes one of the most pressing global challenges of the twenty‑first century. Scientific consensus affirms that the Earth’s climate system is warming at an unprecedented rate, driven largely by human activities. This brief overview synthesizes the principal causes, the most consequential impacts, and the viable mitigation and adaptation strategies that scholars and policymakers propose.</w:t>
      </w:r>
    </w:p>
    <w:p/>
    <w:p>
      <w:pPr>
        <w:pStyle w:val="Heading1"/>
      </w:pPr>
      <w:r>
        <w:rPr>
          <w:color w:val="1360E2"/>
        </w:rPr>
        <w:t>Causes</w:t>
      </w:r>
    </w:p>
    <w:p>
      <w:r>
        <w:rPr>
          <w:rFonts w:ascii="Calibri" w:hAnsi="Calibri"/>
          <w:sz w:val="22"/>
        </w:rPr>
        <w:t>The dominant driver of contemporary climate change is the increase in atmospheric greenhouse gases (GHGs) resulting from anthropogenic activities. Fossil‑fuel combustion for energy, transportation, and industry releases carbon dioxide (CO₂), while agricultural practices and waste management emit methane (CH₄) and nitrous oxide (N₂O). Deforestation reduces the biosphere’s capacity to sequester CO₂, further amplifying radiative forcing. Although natural factors such as volcanic eruptions and solar variability influence climate, their contributions are minor compared with the rapid rise in GHG concentrations observed since the Industrial Revolution.</w:t>
      </w:r>
    </w:p>
    <w:p/>
    <w:p>
      <w:pPr>
        <w:pStyle w:val="Heading1"/>
      </w:pPr>
      <w:r>
        <w:rPr>
          <w:color w:val="1360E2"/>
        </w:rPr>
        <w:t>Impacts</w:t>
      </w:r>
    </w:p>
    <w:p>
      <w:r>
        <w:rPr>
          <w:rFonts w:ascii="Calibri" w:hAnsi="Calibri"/>
          <w:sz w:val="22"/>
        </w:rPr>
        <w:t>Rising global temperatures trigger a cascade of environmental and socio‑economic effects. Thermal expansion of seawater and melting cryosphere components drive sea‑level rise, threatening coastal communities. Altered precipitation patterns intensify droughts in some regions and exacerbate flooding in others, undermining food security and water availability. Ecosystems experience phenological shifts, species range migrations, and heightened extinction risk, eroding biodiversity. Human health is jeopardized by heat‑related illnesses, vector‑borne diseases, and air‑quality degradation. Moreover, climate‑induced displacement can exacerbate geopolitical tensions and economic inequality.</w:t>
      </w:r>
    </w:p>
    <w:p/>
    <w:p>
      <w:pPr>
        <w:pStyle w:val="Heading1"/>
      </w:pPr>
      <w:r>
        <w:rPr>
          <w:color w:val="1360E2"/>
        </w:rPr>
        <w:t>Solutions</w:t>
      </w:r>
    </w:p>
    <w:p>
      <w:r>
        <w:rPr>
          <w:rFonts w:ascii="Calibri" w:hAnsi="Calibri"/>
          <w:sz w:val="22"/>
        </w:rPr>
        <w:t>Mitigation strategies focus on reducing GHG emissions through a rapid transition to low‑carbon energy sources—solar, wind, and nuclear—combined with energy efficiency improvements and electrification of transport. Carbon pricing, regulatory standards, and investment in research and development accelerate this transition. Simultaneously, nature‑based solutions such as reforestation, afforestation, and soil carbon sequestration enhance natural sinks. Adaptation measures—resilient infrastructure, climate‑smart agriculture, and early‑warning systems—are essential to protect vulnerable populations while mitigation curtails future risks.</w:t>
      </w:r>
    </w:p>
    <w:p/>
    <w:p>
      <w:pPr>
        <w:pStyle w:val="Heading1"/>
      </w:pPr>
      <w:r>
        <w:rPr>
          <w:color w:val="1360E2"/>
        </w:rPr>
        <w:t>Conclusion</w:t>
      </w:r>
    </w:p>
    <w:p>
      <w:r>
        <w:rPr>
          <w:rFonts w:ascii="Calibri" w:hAnsi="Calibri"/>
          <w:sz w:val="22"/>
        </w:rPr>
        <w:t>Addressing climate change demands an integrated approach that couples aggressive emission reductions with robust adaptation planning. Scientific evidence underscores the urgency: limiting warming to 1.5 °C above pre‑industrial levels requires immediate, coordinated action across all sectors of society. By embracing sustainable technologies, preserving ecosystems, and fostering equitable policies, humanity can mitigate the most severe consequences and safeguard the planet for future generations.</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