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360E2"/>
          <w:sz w:val="40"/>
        </w:rPr>
        <w:t>Parents</w:t>
      </w:r>
    </w:p>
    <w:p>
      <w:pPr>
        <w:jc w:val="center"/>
      </w:pPr>
      <w:r>
        <w:rPr>
          <w:rFonts w:ascii="Calibri" w:hAnsi="Calibri"/>
          <w:color w:val="888888"/>
          <w:sz w:val="20"/>
        </w:rPr>
        <w:t>General  •  August 31, 2026  •  Generated by Cognify AI</w:t>
      </w:r>
    </w:p>
    <w:p/>
    <w:p>
      <w:pPr>
        <w:pStyle w:val="Heading1"/>
      </w:pPr>
      <w:r>
        <w:rPr>
          <w:color w:val="1360E2"/>
        </w:rPr>
        <w:t>Introduction</w:t>
      </w:r>
    </w:p>
    <w:p/>
    <w:p>
      <w:r>
        <w:rPr>
          <w:rFonts w:ascii="Calibri" w:hAnsi="Calibri"/>
          <w:sz w:val="22"/>
        </w:rPr>
        <w:t>Parenthood occupies a central place in the fabric of human societies, shaping not only the immediate well‑being of children but also influencing broader cultural, economic, and psychological dynamics. Scholars across disciplines—psychology, sociology, education, and anthropology—have documented the multifaceted contributions of parents to the development of individuals and communities. While empirical research provides a systematic understanding of parental impact, it is equally important to acknowledge the affective and moral dimensions of parenting that elude quantification. This essay offers a balanced examination of parents’ roles, integrating scholarly insight with ten appreciative reflections that capture the everyday virtues of parental care. By doing so, the discussion underscores both the theoretical significance and the lived reality of parental influence.</w:t>
      </w:r>
    </w:p>
    <w:p/>
    <w:p>
      <w:pPr>
        <w:pStyle w:val="Heading1"/>
      </w:pPr>
      <w:r>
        <w:rPr>
          <w:color w:val="1360E2"/>
        </w:rPr>
        <w:t>The Role of Parents in Child Development</w:t>
      </w:r>
    </w:p>
    <w:p/>
    <w:p>
      <w:pPr>
        <w:pStyle w:val="Heading2"/>
      </w:pPr>
      <w:r>
        <w:rPr>
          <w:color w:val="1360E2"/>
        </w:rPr>
        <w:t>Emotional Security and Attachment</w:t>
      </w:r>
    </w:p>
    <w:p/>
    <w:p>
      <w:r>
        <w:rPr>
          <w:rFonts w:ascii="Calibri" w:hAnsi="Calibri"/>
          <w:sz w:val="22"/>
        </w:rPr>
        <w:t>Attachment theory, pioneered by Bowlby and Ainsworth, posits that secure emotional bonds formed in early childhood serve as the foundation for later relational competence and mental health (Bowlby, 1988). Parents who provide consistent responsiveness foster a sense of safety that enables children to explore their environment, develop autonomy, and regulate emotions. Empirical studies consistently link secure attachment with higher academic achievement, lower incidence of behavioral problems, and greater resilience in the face of stress (Sroufe, 2005).</w:t>
      </w:r>
    </w:p>
    <w:p/>
    <w:p>
      <w:pPr>
        <w:pStyle w:val="Heading2"/>
      </w:pPr>
      <w:r>
        <w:rPr>
          <w:color w:val="1360E2"/>
        </w:rPr>
        <w:t>Cognitive Stimulation and Educational Support</w:t>
      </w:r>
    </w:p>
    <w:p/>
    <w:p>
      <w:r>
        <w:rPr>
          <w:rFonts w:ascii="Calibri" w:hAnsi="Calibri"/>
          <w:sz w:val="22"/>
        </w:rPr>
        <w:t>Beyond emotional scaffolding, parents act as primary educators during the first years of life. Vygotsky’s concept of the “zone of proximal development” highlights how guided interaction with more knowledgeable others—often parents—accelerates cognitive growth (Vygotsky, 1978). Activities such as reading aloud, engaging in problem‑solving games, and encouraging curiosity have been shown to expand vocabulary, improve executive function, and lay the groundwork for lifelong learning (Hart &amp; Risley, 1995).</w:t>
      </w:r>
    </w:p>
    <w:p/>
    <w:p>
      <w:pPr>
        <w:pStyle w:val="Heading2"/>
      </w:pPr>
      <w:r>
        <w:rPr>
          <w:color w:val="1360E2"/>
        </w:rPr>
        <w:t>Moral Socialization and Value Transmission</w:t>
      </w:r>
    </w:p>
    <w:p/>
    <w:p>
      <w:r>
        <w:rPr>
          <w:rFonts w:ascii="Calibri" w:hAnsi="Calibri"/>
          <w:sz w:val="22"/>
        </w:rPr>
        <w:t>Parents also serve as moral exemplars, transmitting cultural norms, ethical standards, and civic virtues. Through modeling prosocial behavior, discussing dilemmas, and establishing household rules, parents shape children’s internal moral compass (Kohlberg, 1981). Longitudinal research indicates that adolescents who perceive their parents as fair and caring are more likely to exhibit empathy, altruism, and responsible citizenship (Carroll &amp; Doherty, 2015).</w:t>
      </w:r>
    </w:p>
    <w:p/>
    <w:p>
      <w:pPr>
        <w:pStyle w:val="Heading1"/>
      </w:pPr>
      <w:r>
        <w:rPr>
          <w:color w:val="1360E2"/>
        </w:rPr>
        <w:t>Appreciative Reflections on Parents</w:t>
      </w:r>
    </w:p>
    <w:p/>
    <w:p>
      <w:pPr>
        <w:pStyle w:val="ListNumber"/>
      </w:pPr>
      <w:r>
        <w:rPr>
          <w:rFonts w:ascii="Calibri" w:hAnsi="Calibri"/>
          <w:sz w:val="22"/>
        </w:rPr>
        <w:t>**Unconditional love**—they cherish their children regardless of circumstance, offering a steadfast emotional anchor.</w:t>
      </w:r>
    </w:p>
    <w:p>
      <w:pPr>
        <w:pStyle w:val="ListNumber"/>
      </w:pPr>
      <w:r>
        <w:rPr>
          <w:rFonts w:ascii="Calibri" w:hAnsi="Calibri"/>
          <w:sz w:val="22"/>
        </w:rPr>
        <w:t>**Endless patience**—they navigate repeated questions and mistakes with calm perseverance.</w:t>
      </w:r>
    </w:p>
    <w:p>
      <w:pPr>
        <w:pStyle w:val="ListNumber"/>
      </w:pPr>
      <w:r>
        <w:rPr>
          <w:rFonts w:ascii="Calibri" w:hAnsi="Calibri"/>
          <w:sz w:val="22"/>
        </w:rPr>
        <w:t>**Quiet sacrifice**—they often place family needs above personal ambitions, forgoing opportunities for the sake of stability.</w:t>
      </w:r>
    </w:p>
    <w:p>
      <w:pPr>
        <w:pStyle w:val="ListNumber"/>
      </w:pPr>
      <w:r>
        <w:rPr>
          <w:rFonts w:ascii="Calibri" w:hAnsi="Calibri"/>
          <w:sz w:val="22"/>
        </w:rPr>
        <w:t>**Creative problem‑solving**—they transform limited resources into enriching experiences, turning ordinary moments into learning opportunities.</w:t>
      </w:r>
    </w:p>
    <w:p>
      <w:pPr>
        <w:pStyle w:val="ListNumber"/>
      </w:pPr>
      <w:r>
        <w:rPr>
          <w:rFonts w:ascii="Calibri" w:hAnsi="Calibri"/>
          <w:sz w:val="22"/>
        </w:rPr>
        <w:t>**Moral guidance**—they model integrity and compassion, shaping the ethical foundations of future generations.</w:t>
      </w:r>
    </w:p>
    <w:p>
      <w:pPr>
        <w:pStyle w:val="ListNumber"/>
      </w:pPr>
      <w:r>
        <w:rPr>
          <w:rFonts w:ascii="Calibri" w:hAnsi="Calibri"/>
          <w:sz w:val="22"/>
        </w:rPr>
        <w:t>**Resilient optimism**—they maintain hope during adversity, teaching children to view challenges as growth prospects.</w:t>
      </w:r>
    </w:p>
    <w:p>
      <w:pPr>
        <w:pStyle w:val="ListNumber"/>
      </w:pPr>
      <w:r>
        <w:rPr>
          <w:rFonts w:ascii="Calibri" w:hAnsi="Calibri"/>
          <w:sz w:val="22"/>
        </w:rPr>
        <w:t>**Celebration of individuality**—they recognize and nurture each child’s unique talents and interests.</w:t>
      </w:r>
    </w:p>
    <w:p>
      <w:pPr>
        <w:pStyle w:val="ListNumber"/>
      </w:pPr>
      <w:r>
        <w:rPr>
          <w:rFonts w:ascii="Calibri" w:hAnsi="Calibri"/>
          <w:sz w:val="22"/>
        </w:rPr>
        <w:t>**Lifelong mentorship**—they continue to advise and support their offspring well into adulthood.</w:t>
      </w:r>
    </w:p>
    <w:p>
      <w:pPr>
        <w:pStyle w:val="ListNumber"/>
      </w:pPr>
      <w:r>
        <w:rPr>
          <w:rFonts w:ascii="Calibri" w:hAnsi="Calibri"/>
          <w:sz w:val="22"/>
        </w:rPr>
        <w:t>**Cultural stewardship**—they preserve traditions, languages, and stories that connect families to their heritage.</w:t>
      </w:r>
    </w:p>
    <w:p>
      <w:r>
        <w:rPr>
          <w:rFonts w:ascii="Calibri" w:hAnsi="Calibri"/>
          <w:sz w:val="22"/>
        </w:rPr>
        <w:t>10. **Boundless encouragement**—they inspire confidence, urging children to pursue aspirations beyond perceived limits.</w:t>
      </w:r>
    </w:p>
    <w:p/>
    <w:p>
      <w:r>
        <w:rPr>
          <w:rFonts w:ascii="Calibri" w:hAnsi="Calibri"/>
          <w:sz w:val="22"/>
        </w:rPr>
        <w:t>These ten lines encapsulate the everyday heroism that academic metrics may overlook, reminding us that the essence of parenting lies as much in affective generosity as in structured guidance.</w:t>
      </w:r>
    </w:p>
    <w:p/>
    <w:p>
      <w:pPr>
        <w:pStyle w:val="Heading1"/>
      </w:pPr>
      <w:r>
        <w:rPr>
          <w:color w:val="1360E2"/>
        </w:rPr>
        <w:t>Societal Implications</w:t>
      </w:r>
    </w:p>
    <w:p/>
    <w:p>
      <w:r>
        <w:rPr>
          <w:rFonts w:ascii="Calibri" w:hAnsi="Calibri"/>
          <w:sz w:val="22"/>
        </w:rPr>
        <w:t>The cumulative effect of effective parenting extends beyond the family unit. Societies with high levels of parental involvement tend to exhibit lower crime rates, reduced reliance on social welfare, and greater economic productivity (Heckman, 2006). Moreover, policies that support parents—such as paid parental leave, affordable childcare, and flexible work arrangements—have been empirically linked to improved child outcomes and heightened gender equity in the labor market (OECD, 2020). Recognizing parents as pivotal social agents therefore justifies public investment in family‑friendly infrastructures.</w:t>
      </w:r>
    </w:p>
    <w:p/>
    <w:p>
      <w:pPr>
        <w:pStyle w:val="Heading1"/>
      </w:pPr>
      <w:r>
        <w:rPr>
          <w:color w:val="1360E2"/>
        </w:rPr>
        <w:t>Conclusion</w:t>
      </w:r>
    </w:p>
    <w:p/>
    <w:p>
      <w:r>
        <w:rPr>
          <w:rFonts w:ascii="Calibri" w:hAnsi="Calibri"/>
          <w:sz w:val="22"/>
        </w:rPr>
        <w:t>Parents occupy a uniquely influential position at the intersection of biology, psychology, and culture. Scholarly evidence affirms that parental emotional warmth, cognitive stimulation, and moral guidance are indispensable for healthy child development. Complementing this evidence, the ten appreciative lines presented herein celebrate the intangible virtues—love, patience, sacrifice, and encouragement—that parents embody daily. By integrating rigorous research with heartfelt acknowledgment, we gain a fuller appreciation of parenting’s profound impact. Societies that honor and support parents not only nurture individual flourishing but also lay the groundwork for more resilient, compassionate, and prosperous communities.</w:t>
      </w:r>
    </w:p>
    <w:p/>
    <w:p>
      <w:pPr>
        <w:jc w:val="center"/>
      </w:pPr>
      <w:r>
        <w:rPr>
          <w:i/>
          <w:color w:val="888888"/>
          <w:sz w:val="18"/>
        </w:rPr>
        <w:t>— Prepared with Cognify AI Assistant (CoCo)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