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360E2"/>
          <w:sz w:val="40"/>
        </w:rPr>
        <w:t>climate change</w:t>
      </w:r>
    </w:p>
    <w:p>
      <w:pPr>
        <w:jc w:val="center"/>
      </w:pPr>
      <w:r>
        <w:rPr>
          <w:rFonts w:ascii="Calibri" w:hAnsi="Calibri"/>
          <w:color w:val="888888"/>
          <w:sz w:val="20"/>
        </w:rPr>
        <w:t>Environmental Science  •  August 11, 2026  •  Generated by Cognify AI</w:t>
      </w:r>
    </w:p>
    <w:p/>
    <w:p>
      <w:pPr>
        <w:pStyle w:val="Heading1"/>
      </w:pPr>
      <w:r>
        <w:rPr>
          <w:color w:val="1360E2"/>
        </w:rPr>
        <w:t>Introduction</w:t>
      </w:r>
    </w:p>
    <w:p>
      <w:r>
        <w:rPr>
          <w:rFonts w:ascii="Calibri" w:hAnsi="Calibri"/>
          <w:sz w:val="22"/>
        </w:rPr>
        <w:t>Climate change represents a critical challenge to global environmental stability, driven by anthropogenic greenhouse‑gas emissions.</w:t>
      </w:r>
    </w:p>
    <w:p/>
    <w:p>
      <w:pPr>
        <w:pStyle w:val="Heading1"/>
      </w:pPr>
      <w:r>
        <w:rPr>
          <w:color w:val="1360E2"/>
        </w:rPr>
        <w:t>Impacts on Ecosystems</w:t>
      </w:r>
    </w:p>
    <w:p>
      <w:r>
        <w:rPr>
          <w:rFonts w:ascii="Calibri" w:hAnsi="Calibri"/>
          <w:sz w:val="22"/>
        </w:rPr>
        <w:t>Rising temperatures and altered precipitation patterns shift species distributions, increase extinction risk, and disrupt biogeochemical cycles.</w:t>
      </w:r>
    </w:p>
    <w:p/>
    <w:p>
      <w:pPr>
        <w:pStyle w:val="Heading1"/>
      </w:pPr>
      <w:r>
        <w:rPr>
          <w:color w:val="1360E2"/>
        </w:rPr>
        <w:t>Socioeconomic Consequences</w:t>
      </w:r>
    </w:p>
    <w:p>
      <w:r>
        <w:rPr>
          <w:rFonts w:ascii="Calibri" w:hAnsi="Calibri"/>
          <w:sz w:val="22"/>
        </w:rPr>
        <w:t>Agricultural yields decline in vulnerable regions, water scarcity intensifies, and health burdens rise from heat‑related illnesses.</w:t>
      </w:r>
    </w:p>
    <w:p/>
    <w:p>
      <w:pPr>
        <w:pStyle w:val="Heading1"/>
      </w:pPr>
      <w:r>
        <w:rPr>
          <w:color w:val="1360E2"/>
        </w:rPr>
        <w:t>Mitigation Strategies</w:t>
      </w:r>
    </w:p>
    <w:p>
      <w:r>
        <w:rPr>
          <w:rFonts w:ascii="Calibri" w:hAnsi="Calibri"/>
          <w:sz w:val="22"/>
        </w:rPr>
        <w:t>Transitioning to renewable energy, implementing carbon pricing, and enhancing carbon sequestration are essential for limiting warming to 1.5 °C.</w:t>
      </w:r>
    </w:p>
    <w:p/>
    <w:p>
      <w:pPr>
        <w:pStyle w:val="Heading1"/>
      </w:pPr>
      <w:r>
        <w:rPr>
          <w:color w:val="1360E2"/>
        </w:rPr>
        <w:t>Conclusion</w:t>
      </w:r>
    </w:p>
    <w:p>
      <w:r>
        <w:rPr>
          <w:rFonts w:ascii="Calibri" w:hAnsi="Calibri"/>
          <w:sz w:val="22"/>
        </w:rPr>
        <w:t>Effective response demands coordinated scientific research, policy innovation, and public engagement to safeguard planetary health.</w:t>
      </w:r>
    </w:p>
    <w:p/>
    <w:p>
      <w:pPr>
        <w:jc w:val="center"/>
      </w:pPr>
      <w:r>
        <w:rPr>
          <w:i/>
          <w:color w:val="888888"/>
          <w:sz w:val="18"/>
        </w:rPr>
        <w:t>— Prepared with Cognify AI Assistant (CoCo)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