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parents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General  •  August 31,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pPr>
        <w:pStyle w:val="ListNumber"/>
      </w:pPr>
      <w:r>
        <w:rPr>
          <w:rFonts w:ascii="Calibri" w:hAnsi="Calibri"/>
          <w:sz w:val="22"/>
        </w:rPr>
        <w:t>Parents serve as the primary architects of a child’s early environment, shaping foundational experiences that persist throughout life.</w:t>
      </w:r>
    </w:p>
    <w:p/>
    <w:p>
      <w:pPr>
        <w:pStyle w:val="Heading1"/>
      </w:pPr>
      <w:r>
        <w:rPr>
          <w:color w:val="1360E2"/>
        </w:rPr>
        <w:t>Role of Parents</w:t>
      </w:r>
    </w:p>
    <w:p>
      <w:pPr>
        <w:pStyle w:val="ListNumber"/>
      </w:pPr>
      <w:r>
        <w:rPr>
          <w:rFonts w:ascii="Calibri" w:hAnsi="Calibri"/>
          <w:sz w:val="22"/>
        </w:rPr>
        <w:t>They provide essential physical care, emotional security, and social modeling that collectively foster a sense of belonging and self‑worth.</w:t>
      </w:r>
    </w:p>
    <w:p/>
    <w:p>
      <w:pPr>
        <w:pStyle w:val="Heading1"/>
      </w:pPr>
      <w:r>
        <w:rPr>
          <w:color w:val="1360E2"/>
        </w:rPr>
        <w:t>Importance of Parental Guidance</w:t>
      </w:r>
    </w:p>
    <w:p>
      <w:pPr>
        <w:pStyle w:val="ListNumber"/>
      </w:pPr>
      <w:r>
        <w:rPr>
          <w:rFonts w:ascii="Calibri" w:hAnsi="Calibri"/>
          <w:sz w:val="22"/>
        </w:rPr>
        <w:t>Through consistent guidance, parents transmit cultural values, ethical norms, and problem‑solving strategies that underpin responsible citizenship.</w:t>
      </w:r>
    </w:p>
    <w:p>
      <w:pPr>
        <w:pStyle w:val="ListNumber"/>
      </w:pPr>
      <w:r>
        <w:rPr>
          <w:rFonts w:ascii="Calibri" w:hAnsi="Calibri"/>
          <w:sz w:val="22"/>
        </w:rPr>
        <w:t>Their involvement in education and extracurricular activities directly enhances academic motivation and achievement.</w:t>
      </w:r>
    </w:p>
    <w:p/>
    <w:p>
      <w:pPr>
        <w:pStyle w:val="Heading1"/>
      </w:pPr>
      <w:r>
        <w:rPr>
          <w:color w:val="1360E2"/>
        </w:rPr>
        <w:t>Influence on Development</w:t>
      </w:r>
    </w:p>
    <w:p>
      <w:pPr>
        <w:pStyle w:val="ListNumber"/>
      </w:pPr>
      <w:r>
        <w:rPr>
          <w:rFonts w:ascii="Calibri" w:hAnsi="Calibri"/>
          <w:sz w:val="22"/>
        </w:rPr>
        <w:t>Empirical research demonstrates that supportive parenting correlates with higher academic performance, emotional regulation, and resilience.</w:t>
      </w:r>
    </w:p>
    <w:p>
      <w:pPr>
        <w:pStyle w:val="ListNumber"/>
      </w:pPr>
      <w:r>
        <w:rPr>
          <w:rFonts w:ascii="Calibri" w:hAnsi="Calibri"/>
          <w:sz w:val="22"/>
        </w:rPr>
        <w:t>Conversely, neglect or authoritarian practices can impede cognitive growth and increase susceptibility to mental‑health challenges.</w:t>
      </w:r>
    </w:p>
    <w:p>
      <w:pPr>
        <w:pStyle w:val="ListNumber"/>
      </w:pPr>
      <w:r>
        <w:rPr>
          <w:rFonts w:ascii="Calibri" w:hAnsi="Calibri"/>
          <w:sz w:val="22"/>
        </w:rPr>
        <w:t>The parent‑child attachment bond also influences neural circuitry related to stress response and empathy.</w:t>
      </w:r>
    </w:p>
    <w:p>
      <w:pPr>
        <w:pStyle w:val="ListNumber"/>
      </w:pPr>
      <w:r>
        <w:rPr>
          <w:rFonts w:ascii="Calibri" w:hAnsi="Calibri"/>
          <w:sz w:val="22"/>
        </w:rPr>
        <w:t>Longitudinal studies reveal that positive parental involvement predicts sustained well‑being into adulthood.</w:t>
      </w:r>
    </w:p>
    <w:p/>
    <w:p>
      <w:pPr>
        <w:pStyle w:val="Heading1"/>
      </w:pPr>
      <w:r>
        <w:rPr>
          <w:color w:val="1360E2"/>
        </w:rPr>
        <w:t>Conclusion</w:t>
      </w:r>
    </w:p>
    <w:p>
      <w:pPr>
        <w:pStyle w:val="ListNumber"/>
      </w:pPr>
      <w:r>
        <w:rPr>
          <w:rFonts w:ascii="Calibri" w:hAnsi="Calibri"/>
          <w:sz w:val="22"/>
        </w:rPr>
        <w:t>In sum, parents occupy a pivotal role that extends beyond mere provision to the cultivation of holistic human development.</w:t>
      </w:r>
    </w:p>
    <w:p>
      <w:r>
        <w:rPr>
          <w:rFonts w:ascii="Calibri" w:hAnsi="Calibri"/>
          <w:sz w:val="22"/>
        </w:rPr>
        <w:t>10. Recognizing this influence underscores the societal imperative to support families through policies, education, and community resources.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