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4e79"/>
          <w:sz w:val="40"/>
          <w:szCs w:val="40"/>
        </w:rPr>
        <w:t xml:space="preserve">Vibe Coding Prompt</w:t>
      </w:r>
    </w:p>
    <w:p>
      <w:pPr>
        <w:spacing w:after="240"/>
      </w:pPr>
      <w:r>
        <w:rPr>
          <w:i/>
          <w:iCs/>
          <w:color w:val="555555"/>
          <w:sz w:val="21"/>
          <w:szCs w:val="21"/>
        </w:rPr>
        <w:t xml:space="preserve">Full prompt used to generate the final Python application (app.py) for the IBM Employee Attrition K-Means segmentation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CCCCCC" w:sz="2"/>
              <w:left w:val="single" w:color="CCCCCC" w:sz="2"/>
              <w:bottom w:val="single" w:color="CCCCCC" w:sz="2"/>
              <w:right w:val="single" w:color="CCCCCC" w:sz="2"/>
            </w:tcBorders>
            <w:shd w:fill="EAF1F8" w:val="clear"/>
          </w:tcPr>
          <w:p>
            <w:r>
              <w:rPr>
                <w:b/>
                <w:bCs/>
                <w:sz w:val="20"/>
                <w:szCs w:val="20"/>
              </w:rPr>
              <w:t xml:space="preserve">Course / Case</w:t>
            </w:r>
          </w:p>
        </w:tc>
        <w:tc>
          <w:tcPr>
            <w:tcW w:type="dxa" w:w="7200"/>
            <w:tcBorders>
              <w:top w:val="single" w:color="CCCCCC" w:sz="2"/>
              <w:left w:val="single" w:color="CCCCCC" w:sz="2"/>
              <w:bottom w:val="single" w:color="CCCCCC" w:sz="2"/>
              <w:right w:val="single" w:color="CCCCCC" w:sz="2"/>
            </w:tcBorders>
          </w:tcPr>
          <w:p>
            <w:r>
              <w:rPr>
                <w:sz w:val="20"/>
                <w:szCs w:val="20"/>
              </w:rPr>
              <w:t xml:space="preserve">IBM Employee Attrition — K-Means Workforce Segmentation</w:t>
            </w:r>
          </w:p>
        </w:tc>
      </w:tr>
      <w:tr>
        <w:tc>
          <w:tcPr>
            <w:tcW w:type="dxa" w:w="2200"/>
            <w:tcBorders>
              <w:top w:val="single" w:color="CCCCCC" w:sz="2"/>
              <w:left w:val="single" w:color="CCCCCC" w:sz="2"/>
              <w:bottom w:val="single" w:color="CCCCCC" w:sz="2"/>
              <w:right w:val="single" w:color="CCCCCC" w:sz="2"/>
            </w:tcBorders>
            <w:shd w:fill="EAF1F8" w:val="clear"/>
          </w:tcPr>
          <w:p>
            <w:r>
              <w:rPr>
                <w:b/>
                <w:bCs/>
                <w:sz w:val="20"/>
                <w:szCs w:val="20"/>
              </w:rPr>
              <w:t xml:space="preserve">Tool used</w:t>
            </w:r>
          </w:p>
        </w:tc>
        <w:tc>
          <w:tcPr>
            <w:tcW w:type="dxa" w:w="7200"/>
            <w:tcBorders>
              <w:top w:val="single" w:color="CCCCCC" w:sz="2"/>
              <w:left w:val="single" w:color="CCCCCC" w:sz="2"/>
              <w:bottom w:val="single" w:color="CCCCCC" w:sz="2"/>
              <w:right w:val="single" w:color="CCCCCC" w:sz="2"/>
            </w:tcBorders>
          </w:tcPr>
          <w:p>
            <w:r>
              <w:rPr>
                <w:sz w:val="20"/>
                <w:szCs w:val="20"/>
              </w:rPr>
              <w:t xml:space="preserve">Vibe coding via AI coding assistants (ChatGPT and Claude)</w:t>
            </w:r>
          </w:p>
        </w:tc>
      </w:tr>
      <w:tr>
        <w:tc>
          <w:tcPr>
            <w:tcW w:type="dxa" w:w="2200"/>
            <w:tcBorders>
              <w:top w:val="single" w:color="CCCCCC" w:sz="2"/>
              <w:left w:val="single" w:color="CCCCCC" w:sz="2"/>
              <w:bottom w:val="single" w:color="CCCCCC" w:sz="2"/>
              <w:right w:val="single" w:color="CCCCCC" w:sz="2"/>
            </w:tcBorders>
            <w:shd w:fill="EAF1F8" w:val="clear"/>
          </w:tcPr>
          <w:p>
            <w:r>
              <w:rPr>
                <w:b/>
                <w:bCs/>
                <w:sz w:val="20"/>
                <w:szCs w:val="20"/>
              </w:rPr>
              <w:t xml:space="preserve">Final output</w:t>
            </w:r>
          </w:p>
        </w:tc>
        <w:tc>
          <w:tcPr>
            <w:tcW w:type="dxa" w:w="7200"/>
            <w:tcBorders>
              <w:top w:val="single" w:color="CCCCCC" w:sz="2"/>
              <w:left w:val="single" w:color="CCCCCC" w:sz="2"/>
              <w:bottom w:val="single" w:color="CCCCCC" w:sz="2"/>
              <w:right w:val="single" w:color="CCCCCC" w:sz="2"/>
            </w:tcBorders>
          </w:tcPr>
          <w:p>
            <w:r>
              <w:rPr>
                <w:sz w:val="20"/>
                <w:szCs w:val="20"/>
              </w:rPr>
              <w:t xml:space="preserve">app.py — Dash/Plotly application deployed to Plotly Cloud</w:t>
            </w:r>
          </w:p>
        </w:tc>
      </w:tr>
      <w:tr>
        <w:tc>
          <w:tcPr>
            <w:tcW w:type="dxa" w:w="2200"/>
            <w:tcBorders>
              <w:top w:val="single" w:color="CCCCCC" w:sz="2"/>
              <w:left w:val="single" w:color="CCCCCC" w:sz="2"/>
              <w:bottom w:val="single" w:color="CCCCCC" w:sz="2"/>
              <w:right w:val="single" w:color="CCCCCC" w:sz="2"/>
            </w:tcBorders>
            <w:shd w:fill="EAF1F8" w:val="clear"/>
          </w:tcPr>
          <w:p>
            <w:r>
              <w:rPr>
                <w:b/>
                <w:bCs/>
                <w:sz w:val="20"/>
                <w:szCs w:val="20"/>
              </w:rPr>
              <w:t xml:space="preserve">Deployment link</w:t>
            </w:r>
          </w:p>
        </w:tc>
        <w:tc>
          <w:tcPr>
            <w:tcW w:type="dxa" w:w="7200"/>
            <w:tcBorders>
              <w:top w:val="single" w:color="CCCCCC" w:sz="2"/>
              <w:left w:val="single" w:color="CCCCCC" w:sz="2"/>
              <w:bottom w:val="single" w:color="CCCCCC" w:sz="2"/>
              <w:right w:val="single" w:color="CCCCCC" w:sz="2"/>
            </w:tcBorders>
          </w:tcPr>
          <w:p>
            <w:r>
              <w:rPr>
                <w:sz w:val="20"/>
                <w:szCs w:val="20"/>
              </w:rPr>
              <w:t xml:space="preserve">https://dazzled-aqua-scallop-e691ac2f.plotly.app/</w:t>
            </w:r>
          </w:p>
        </w:tc>
      </w:tr>
    </w:tbl>
    <w:p>
      <w:pPr>
        <w:pStyle w:val="Heading1"/>
        <w:spacing w:after="140" w:before="280"/>
      </w:pPr>
      <w:r>
        <w:rPr>
          <w:b/>
          <w:bCs/>
          <w:color w:val="1f4e79"/>
          <w:sz w:val="28"/>
          <w:szCs w:val="28"/>
        </w:rPr>
        <w:t xml:space="preserve">Prompt Submitted to the AI Coding Assistant</w:t>
      </w:r>
    </w:p>
    <w:p>
      <w:pPr>
        <w:spacing w:after="160"/>
      </w:pPr>
      <w:r>
        <w:rPr>
          <w:sz w:val="21"/>
          <w:szCs w:val="21"/>
        </w:rPr>
        <w:t xml:space="preserve">The following structured prompt was used to generate the deployed Dash/Plotly application. It is reproduced here as submitted, organized into the sections requested by the assignment (role/context, data handling, analytical method, evaluation, interface, and deployment target).</w:t>
      </w:r>
    </w:p>
    <w:p>
      <w:pPr>
        <w:pStyle w:val="Heading2"/>
        <w:spacing w:after="100" w:before="200"/>
      </w:pPr>
      <w:r>
        <w:rPr>
          <w:b/>
          <w:bCs/>
          <w:color w:val="1f4e79"/>
          <w:sz w:val="24"/>
          <w:szCs w:val="24"/>
        </w:rPr>
        <w:t xml:space="preserve">Role and Context</w:t>
      </w:r>
    </w:p>
    <w:p>
      <w:pPr>
        <w:spacing w:after="160"/>
      </w:pPr>
      <w:r>
        <w:rPr>
          <w:sz w:val="21"/>
          <w:szCs w:val="21"/>
        </w:rPr>
        <w:t xml:space="preserve">You are a Python data analytics developer helping build an interactive analytics application for IBM's HR Analytics division. The application will be used by Dr. Sarah Chen, IBM's CHRO, and her HR leadership team to move from a reactive “who left?” question to a proactive “what kinds of employees are at risk?” retention strategy. Build a single, self-contained Python script named app.py.</w:t>
      </w:r>
    </w:p>
    <w:p>
      <w:pPr>
        <w:pStyle w:val="Heading2"/>
        <w:spacing w:after="100" w:before="200"/>
      </w:pPr>
      <w:r>
        <w:rPr>
          <w:b/>
          <w:bCs/>
          <w:color w:val="1f4e79"/>
          <w:sz w:val="24"/>
          <w:szCs w:val="24"/>
        </w:rPr>
        <w:t xml:space="preserve">Dataset</w:t>
      </w:r>
    </w:p>
    <w:p>
      <w:pPr>
        <w:spacing w:after="160"/>
      </w:pPr>
      <w:r>
        <w:rPr>
          <w:sz w:val="21"/>
          <w:szCs w:val="21"/>
        </w:rPr>
        <w:t xml:space="preserve">Use IBM_Dataset.csv, a 1,470-row employee dataset with the following columns: Age, Attrition (Yes/No), Department, Education (1–5, ordinal), Gender, JobLevel (1–5, ordinal), JobSatisfaction (1–4, ordinal), MonthlyIncome, TotalWorkingYears, WorkLifeBalance (1–4, ordinal), YearsAtCompany, YearsInCurrentRole, and YearsWithCurrManager. Load the file at runtime from the working directory — do not hardcode or fabricate data.</w:t>
      </w:r>
    </w:p>
    <w:p>
      <w:pPr>
        <w:pStyle w:val="Heading2"/>
        <w:spacing w:after="100" w:before="200"/>
      </w:pPr>
      <w:r>
        <w:rPr>
          <w:b/>
          <w:bCs/>
          <w:color w:val="1f4e79"/>
          <w:sz w:val="24"/>
          <w:szCs w:val="24"/>
        </w:rPr>
        <w:t xml:space="preserve">Preprocessing Requirements</w:t>
      </w:r>
    </w:p>
    <w:p>
      <w:pPr>
        <w:spacing w:after="160"/>
      </w:pPr>
      <w:r>
        <w:rPr>
          <w:sz w:val="21"/>
          <w:szCs w:val="21"/>
        </w:rPr>
        <w:t xml:space="preserve">Build a preprocessing pipeline using scikit-learn's ColumnTransformer with the following logic, applied to every explanatory variable except Attrition:</w:t>
      </w:r>
    </w:p>
    <w:p>
      <w:pPr>
        <w:pStyle w:val="ListParagraph"/>
        <w:numPr>
          <w:ilvl w:val="0"/>
          <w:numId w:val="2"/>
        </w:numPr>
        <w:spacing w:after="80"/>
      </w:pPr>
      <w:r>
        <w:rPr>
          <w:sz w:val="21"/>
          <w:szCs w:val="21"/>
        </w:rPr>
        <w:t xml:space="preserve">Nominal variables (Department, Gender) — apply OneHotEncoder (handle_unknown="ignore"), since they carry no inherent order.</w:t>
      </w:r>
    </w:p>
    <w:p>
      <w:pPr>
        <w:pStyle w:val="ListParagraph"/>
        <w:numPr>
          <w:ilvl w:val="0"/>
          <w:numId w:val="2"/>
        </w:numPr>
        <w:spacing w:after="80"/>
      </w:pPr>
      <w:r>
        <w:rPr>
          <w:sz w:val="21"/>
          <w:szCs w:val="21"/>
        </w:rPr>
        <w:t xml:space="preserve">Ordinal variables (Education, JobLevel, JobSatisfaction, WorkLifeBalance) — apply StandardScaler directly to the existing ordered integer codes; do not re-encode them, since their numeric order is already meaningful.</w:t>
      </w:r>
    </w:p>
    <w:p>
      <w:pPr>
        <w:pStyle w:val="ListParagraph"/>
        <w:numPr>
          <w:ilvl w:val="0"/>
          <w:numId w:val="2"/>
        </w:numPr>
        <w:spacing w:after="80"/>
      </w:pPr>
      <w:r>
        <w:rPr>
          <w:sz w:val="21"/>
          <w:szCs w:val="21"/>
        </w:rPr>
        <w:t xml:space="preserve">Continuous variables (Age, MonthlyIncome, TotalWorkingYears, YearsAtCompany, YearsInCurrentRole, YearsWithCurrManager) — apply StandardScaler so no variable dominates the Euclidean distance calculation purely due to its scale.</w:t>
      </w:r>
    </w:p>
    <w:p>
      <w:pPr>
        <w:pStyle w:val="ListParagraph"/>
        <w:numPr>
          <w:ilvl w:val="0"/>
          <w:numId w:val="2"/>
        </w:numPr>
        <w:spacing w:after="80"/>
      </w:pPr>
      <w:r>
        <w:rPr>
          <w:sz w:val="21"/>
          <w:szCs w:val="21"/>
        </w:rPr>
        <w:t xml:space="preserve">Attrition — exclude entirely from the feature matrix used for clustering. It must only be used afterward, to calculate the observed attrition rate within each discovered cluster.</w:t>
      </w:r>
    </w:p>
    <w:p>
      <w:pPr>
        <w:pStyle w:val="Heading2"/>
        <w:spacing w:after="100" w:before="200"/>
      </w:pPr>
      <w:r>
        <w:rPr>
          <w:b/>
          <w:bCs/>
          <w:color w:val="1f4e79"/>
          <w:sz w:val="24"/>
          <w:szCs w:val="24"/>
        </w:rPr>
        <w:t xml:space="preserve">Clustering Method</w:t>
      </w:r>
    </w:p>
    <w:p>
      <w:pPr>
        <w:spacing w:after="160"/>
      </w:pPr>
      <w:r>
        <w:rPr>
          <w:sz w:val="21"/>
          <w:szCs w:val="21"/>
        </w:rPr>
        <w:t xml:space="preserve">K-Means must be the sole analytical engine (do not implement DBSCAN, hierarchical clustering, or Gaussian Mixture Models). Specifically:</w:t>
      </w:r>
    </w:p>
    <w:p>
      <w:pPr>
        <w:pStyle w:val="ListParagraph"/>
        <w:numPr>
          <w:ilvl w:val="0"/>
          <w:numId w:val="2"/>
        </w:numPr>
        <w:spacing w:after="80"/>
      </w:pPr>
      <w:r>
        <w:rPr>
          <w:sz w:val="21"/>
          <w:szCs w:val="21"/>
        </w:rPr>
        <w:t xml:space="preserve">Fit KMeans (scikit-learn) for every value of k from 2 through 10, using random_state=42 and n_init=20 for reproducibility.</w:t>
      </w:r>
    </w:p>
    <w:p>
      <w:pPr>
        <w:pStyle w:val="ListParagraph"/>
        <w:numPr>
          <w:ilvl w:val="0"/>
          <w:numId w:val="2"/>
        </w:numPr>
        <w:spacing w:after="80"/>
      </w:pPr>
      <w:r>
        <w:rPr>
          <w:sz w:val="21"/>
          <w:szCs w:val="21"/>
        </w:rPr>
        <w:t xml:space="preserve">For each k, record the model's inertia (for the Elbow Method) and the silhouette_score (from sklearn.metrics) on the same preprocessed feature matrix.</w:t>
      </w:r>
    </w:p>
    <w:p>
      <w:pPr>
        <w:pStyle w:val="ListParagraph"/>
        <w:numPr>
          <w:ilvl w:val="0"/>
          <w:numId w:val="2"/>
        </w:numPr>
        <w:spacing w:after="80"/>
      </w:pPr>
      <w:r>
        <w:rPr>
          <w:sz w:val="21"/>
          <w:szCs w:val="21"/>
        </w:rPr>
        <w:t xml:space="preserve">Select a final number of clusters (k=4) and justify the choice using both the elbow bend and the silhouette trend, not just one metric in isolation.</w:t>
      </w:r>
    </w:p>
    <w:p>
      <w:pPr>
        <w:pStyle w:val="ListParagraph"/>
        <w:numPr>
          <w:ilvl w:val="0"/>
          <w:numId w:val="2"/>
        </w:numPr>
        <w:spacing w:after="80"/>
      </w:pPr>
      <w:r>
        <w:rPr>
          <w:sz w:val="21"/>
          <w:szCs w:val="21"/>
        </w:rPr>
        <w:t xml:space="preserve">Fit the final KMeans model at the selected k and assign every employee a Cluster label.</w:t>
      </w:r>
    </w:p>
    <w:p>
      <w:pPr>
        <w:pStyle w:val="Heading2"/>
        <w:spacing w:after="100" w:before="200"/>
      </w:pPr>
      <w:r>
        <w:rPr>
          <w:b/>
          <w:bCs/>
          <w:color w:val="1f4e79"/>
          <w:sz w:val="24"/>
          <w:szCs w:val="24"/>
        </w:rPr>
        <w:t xml:space="preserve">Cluster Evaluation and Profiling</w:t>
      </w:r>
    </w:p>
    <w:p>
      <w:pPr>
        <w:spacing w:after="160"/>
      </w:pPr>
      <w:r>
        <w:rPr>
          <w:sz w:val="21"/>
          <w:szCs w:val="21"/>
        </w:rPr>
        <w:t xml:space="preserve">Produce the following, all grounded in the actual fitted model (no placeholder or illustrative numbers):</w:t>
      </w:r>
    </w:p>
    <w:p>
      <w:pPr>
        <w:pStyle w:val="ListParagraph"/>
        <w:numPr>
          <w:ilvl w:val="0"/>
          <w:numId w:val="2"/>
        </w:numPr>
        <w:spacing w:after="80"/>
      </w:pPr>
      <w:r>
        <w:rPr>
          <w:sz w:val="21"/>
          <w:szCs w:val="21"/>
        </w:rPr>
        <w:t xml:space="preserve">A line chart of Inertia vs. k for k=2–10 (Elbow Method), with the selected k clearly marked.</w:t>
      </w:r>
    </w:p>
    <w:p>
      <w:pPr>
        <w:pStyle w:val="ListParagraph"/>
        <w:numPr>
          <w:ilvl w:val="0"/>
          <w:numId w:val="2"/>
        </w:numPr>
        <w:spacing w:after="80"/>
      </w:pPr>
      <w:r>
        <w:rPr>
          <w:sz w:val="21"/>
          <w:szCs w:val="21"/>
        </w:rPr>
        <w:t xml:space="preserve">A line chart of Silhouette Score vs. k for k=2–10, with the selected k clearly marked.</w:t>
      </w:r>
    </w:p>
    <w:p>
      <w:pPr>
        <w:pStyle w:val="ListParagraph"/>
        <w:numPr>
          <w:ilvl w:val="0"/>
          <w:numId w:val="2"/>
        </w:numPr>
        <w:spacing w:after="80"/>
      </w:pPr>
      <w:r>
        <w:rPr>
          <w:sz w:val="21"/>
          <w:szCs w:val="21"/>
        </w:rPr>
        <w:t xml:space="preserve">A cluster summary table showing, per cluster: employee count, share of workforce, observed attrition rate, and the mean of every explanatory variable (Age, Education, JobLevel, MonthlyIncome, TotalWorkingYears, YearsAtCompany, YearsInCurrentRole, YearsWithCurrManager, JobSatisfaction, WorkLifeBalance).</w:t>
      </w:r>
    </w:p>
    <w:p>
      <w:pPr>
        <w:pStyle w:val="ListParagraph"/>
        <w:numPr>
          <w:ilvl w:val="0"/>
          <w:numId w:val="2"/>
        </w:numPr>
        <w:spacing w:after="80"/>
      </w:pPr>
      <w:r>
        <w:rPr>
          <w:sz w:val="21"/>
          <w:szCs w:val="21"/>
        </w:rPr>
        <w:t xml:space="preserve">A bar chart of observed attrition rate by cluster.</w:t>
      </w:r>
    </w:p>
    <w:p>
      <w:pPr>
        <w:pStyle w:val="ListParagraph"/>
        <w:numPr>
          <w:ilvl w:val="0"/>
          <w:numId w:val="2"/>
        </w:numPr>
        <w:spacing w:after="80"/>
      </w:pPr>
      <w:r>
        <w:rPr>
          <w:sz w:val="21"/>
          <w:szCs w:val="21"/>
        </w:rPr>
        <w:t xml:space="preserve">A short, business-meaningful label for each cluster (e.g. “High-Risk Early-Career Talent”) based on its defining characteristics, assigned after reviewing the cluster summary statistics — do not invent labels before the model is fit.</w:t>
      </w:r>
    </w:p>
    <w:p>
      <w:pPr>
        <w:pStyle w:val="Heading2"/>
        <w:spacing w:after="100" w:before="200"/>
      </w:pPr>
      <w:r>
        <w:rPr>
          <w:b/>
          <w:bCs/>
          <w:color w:val="1f4e79"/>
          <w:sz w:val="24"/>
          <w:szCs w:val="24"/>
        </w:rPr>
        <w:t xml:space="preserve">Employee Scenario Simulator</w:t>
      </w:r>
    </w:p>
    <w:p>
      <w:pPr>
        <w:spacing w:after="160"/>
      </w:pPr>
      <w:r>
        <w:rPr>
          <w:sz w:val="21"/>
          <w:szCs w:val="21"/>
        </w:rPr>
        <w:t xml:space="preserve">Add an interactive simulator so an HR user can enter a hypothetical employee's characteristics (Age, Department, Education, Gender, JobLevel, JobSatisfaction, MonthlyIncome, TotalWorkingYears, WorkLifeBalance, YearsAtCompany, YearsInCurrentRole, YearsWithCurrManager) and, on clicking a button, see:</w:t>
      </w:r>
    </w:p>
    <w:p>
      <w:pPr>
        <w:pStyle w:val="ListParagraph"/>
        <w:numPr>
          <w:ilvl w:val="0"/>
          <w:numId w:val="2"/>
        </w:numPr>
        <w:spacing w:after="80"/>
      </w:pPr>
      <w:r>
        <w:rPr>
          <w:sz w:val="21"/>
          <w:szCs w:val="21"/>
        </w:rPr>
        <w:t xml:space="preserve">The cluster number and business label the profile is assigned to (via preprocessor.transform + kmeans.predict on the same fitted pipeline).</w:t>
      </w:r>
    </w:p>
    <w:p>
      <w:pPr>
        <w:pStyle w:val="ListParagraph"/>
        <w:numPr>
          <w:ilvl w:val="0"/>
          <w:numId w:val="2"/>
        </w:numPr>
        <w:spacing w:after="80"/>
      </w:pPr>
      <w:r>
        <w:rPr>
          <w:sz w:val="21"/>
          <w:szCs w:val="21"/>
        </w:rPr>
        <w:t xml:space="preserve">That cluster's observed attrition rate and key averages (age, job level, income, tenure, satisfaction, work-life balance).</w:t>
      </w:r>
    </w:p>
    <w:p>
      <w:pPr>
        <w:pStyle w:val="ListParagraph"/>
        <w:numPr>
          <w:ilvl w:val="0"/>
          <w:numId w:val="2"/>
        </w:numPr>
        <w:spacing w:after="80"/>
      </w:pPr>
      <w:r>
        <w:rPr>
          <w:sz w:val="21"/>
          <w:szCs w:val="21"/>
        </w:rPr>
        <w:t xml:space="preserve">An explicit note that this is a similarity match to an existing segment, not an individual-level prediction, and should not be used as the sole basis for an employment decision.</w:t>
      </w:r>
    </w:p>
    <w:p>
      <w:pPr>
        <w:pStyle w:val="Heading2"/>
        <w:spacing w:after="100" w:before="200"/>
      </w:pPr>
      <w:r>
        <w:rPr>
          <w:b/>
          <w:bCs/>
          <w:color w:val="1f4e79"/>
          <w:sz w:val="24"/>
          <w:szCs w:val="24"/>
        </w:rPr>
        <w:t xml:space="preserve">Interface and Deployment</w:t>
      </w:r>
    </w:p>
    <w:p>
      <w:pPr>
        <w:spacing w:after="160"/>
      </w:pPr>
      <w:r>
        <w:rPr>
          <w:sz w:val="21"/>
          <w:szCs w:val="21"/>
        </w:rPr>
        <w:t xml:space="preserve">Build the interface using Dash (dash, dcc, html, dash_table) and Plotly (plotly.express / plotly.graph_objects) for all charts — do not use Gradio or Streamlit. Structure the layout with a clear navigation between: (1) an Elbow/Silhouette evaluation view, (2) a cluster overview with the summary table and charts, and (3) the scenario simulator. The application must be deployable as a public Plotly Cloud app so IBM's HR leadership can access it via a live URL without authentication.</w:t>
      </w:r>
    </w:p>
    <w:p>
      <w:pPr>
        <w:pStyle w:val="Heading2"/>
        <w:spacing w:after="100" w:before="200"/>
      </w:pPr>
      <w:r>
        <w:rPr>
          <w:b/>
          <w:bCs/>
          <w:color w:val="1f4e79"/>
          <w:sz w:val="24"/>
          <w:szCs w:val="24"/>
        </w:rPr>
        <w:t xml:space="preserve">Code Quality Requirements</w:t>
      </w:r>
    </w:p>
    <w:p>
      <w:pPr>
        <w:pStyle w:val="ListParagraph"/>
        <w:numPr>
          <w:ilvl w:val="0"/>
          <w:numId w:val="2"/>
        </w:numPr>
        <w:spacing w:after="80"/>
      </w:pPr>
      <w:r>
        <w:rPr>
          <w:sz w:val="21"/>
          <w:szCs w:val="21"/>
        </w:rPr>
        <w:t xml:space="preserve">The script must run end-to-end with no errors once IBM_Dataset.csv is present in the working directory.</w:t>
      </w:r>
    </w:p>
    <w:p>
      <w:pPr>
        <w:pStyle w:val="ListParagraph"/>
        <w:numPr>
          <w:ilvl w:val="0"/>
          <w:numId w:val="2"/>
        </w:numPr>
        <w:spacing w:after="80"/>
      </w:pPr>
      <w:r>
        <w:rPr>
          <w:sz w:val="21"/>
          <w:szCs w:val="21"/>
        </w:rPr>
        <w:t xml:space="preserve">Include a requirements.txt listing every third-party package used (dash, plotly, pandas, scikit-learn).</w:t>
      </w:r>
    </w:p>
    <w:p>
      <w:pPr>
        <w:pStyle w:val="ListParagraph"/>
        <w:numPr>
          <w:ilvl w:val="0"/>
          <w:numId w:val="2"/>
        </w:numPr>
        <w:spacing w:after="80"/>
      </w:pPr>
      <w:r>
        <w:rPr>
          <w:sz w:val="21"/>
          <w:szCs w:val="21"/>
        </w:rPr>
        <w:t xml:space="preserve">Comment the preprocessing and clustering sections to explain why each variable is treated the way it is, so the logic is auditable by a non-technical HR stakeholder reading the code.</w:t>
      </w:r>
    </w:p>
    <w:p>
      <w:pPr>
        <w:pStyle w:val="Heading1"/>
        <w:spacing w:after="140" w:before="280"/>
      </w:pPr>
      <w:r>
        <w:rPr>
          <w:b/>
          <w:bCs/>
          <w:color w:val="1f4e79"/>
          <w:sz w:val="28"/>
          <w:szCs w:val="28"/>
        </w:rPr>
        <w:t xml:space="preserve">Notes on Iteration</w:t>
      </w:r>
    </w:p>
    <w:p>
      <w:pPr>
        <w:spacing w:after="160"/>
      </w:pPr>
      <w:r>
        <w:rPr>
          <w:sz w:val="21"/>
          <w:szCs w:val="21"/>
        </w:rPr>
        <w:t xml:space="preserve">The prompt above was refined over several iterations across both ChatGPT and Claude — for example, tightening the preprocessing section after an early draft mixed ordinal and nominal encoding, and adding the explicit “not an individual-level prediction” disclaimer to the simulator output after reviewing the assignment's caution against using the tool for automated employment decisions. Drafts were moved between tools to compare outputs and cross-check the preprocessing and clustering logic before settling on a final version. The final app.py reflects the requirements above and was tested against IBM_Dataset.csv before deployment.</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2026-08-05T03:30:13.817Z</dcterms:created>
  <dcterms:modified xsi:type="dcterms:W3CDTF">2026-08-05T03:30:13.830Z</dcterms:modified>
</cp:coreProperties>
</file>

<file path=docProps/custom.xml><?xml version="1.0" encoding="utf-8"?>
<Properties xmlns="http://schemas.openxmlformats.org/officeDocument/2006/custom-properties" xmlns:vt="http://schemas.openxmlformats.org/officeDocument/2006/docPropsVTypes"/>
</file>