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6495" w14:textId="176F7C4D" w:rsidR="007E6034" w:rsidRDefault="00045B89" w:rsidP="00045B8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23AA7B" wp14:editId="7C6A147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07645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02" y="21506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2B006074" w14:textId="48810ABF" w:rsidR="00045B89" w:rsidRPr="00045B89" w:rsidRDefault="00045B89" w:rsidP="00045B89">
      <w:pPr>
        <w:rPr>
          <w:b/>
          <w:bCs/>
          <w:lang w:val="en-US"/>
        </w:rPr>
      </w:pPr>
    </w:p>
    <w:p w14:paraId="19861B9A" w14:textId="0DF5AE0A" w:rsidR="00045B89" w:rsidRPr="00045B89" w:rsidRDefault="00045B89" w:rsidP="00045B8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45B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</w:t>
      </w:r>
      <w:r w:rsidRPr="00045B89">
        <w:rPr>
          <w:rFonts w:ascii="Times New Roman" w:hAnsi="Times New Roman" w:cs="Times New Roman"/>
          <w:b/>
          <w:bCs/>
          <w:sz w:val="40"/>
          <w:szCs w:val="40"/>
          <w:lang w:val="en-US"/>
        </w:rPr>
        <w:t>SUPERIOR UNIVERSITY</w:t>
      </w:r>
    </w:p>
    <w:p w14:paraId="25226C68" w14:textId="3DD30C48" w:rsidR="00045B89" w:rsidRDefault="00045B89" w:rsidP="00045B8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5B89">
        <w:rPr>
          <w:rFonts w:ascii="Times New Roman" w:hAnsi="Times New Roman" w:cs="Times New Roman"/>
          <w:sz w:val="32"/>
          <w:szCs w:val="32"/>
          <w:lang w:val="en-US"/>
        </w:rPr>
        <w:t>TECHNICAL &amp; BUSINESS WRITING</w:t>
      </w:r>
    </w:p>
    <w:p w14:paraId="648AEDDC" w14:textId="40D40A9B" w:rsidR="00045B89" w:rsidRDefault="00045B89" w:rsidP="00045B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A7B58D" w14:textId="39ECA283" w:rsidR="00045B89" w:rsidRDefault="00045B89" w:rsidP="00045B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234F96" w14:textId="2A358604" w:rsidR="00045B89" w:rsidRDefault="00045B89" w:rsidP="00045B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62FE60" w14:textId="77777777" w:rsidR="00045B89" w:rsidRDefault="00045B89" w:rsidP="00045B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4292C5" w14:textId="0AC58830" w:rsidR="00045B89" w:rsidRDefault="00045B89" w:rsidP="00045B8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45B89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 # 3</w:t>
      </w:r>
    </w:p>
    <w:p w14:paraId="57064EB6" w14:textId="28067B94" w:rsidR="00045B89" w:rsidRDefault="00045B89" w:rsidP="00045B8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BBF9FFB" w14:textId="68EC41B1" w:rsidR="00045B89" w:rsidRPr="00045B89" w:rsidRDefault="00045B89" w:rsidP="00045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45B89">
        <w:rPr>
          <w:rFonts w:ascii="Times New Roman" w:hAnsi="Times New Roman" w:cs="Times New Roman"/>
          <w:sz w:val="36"/>
          <w:szCs w:val="36"/>
          <w:lang w:val="en-US"/>
        </w:rPr>
        <w:t xml:space="preserve">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045B89">
        <w:rPr>
          <w:rFonts w:ascii="Times New Roman" w:hAnsi="Times New Roman" w:cs="Times New Roman"/>
          <w:sz w:val="36"/>
          <w:szCs w:val="36"/>
          <w:lang w:val="en-US"/>
        </w:rPr>
        <w:t>NAME:                                 MAIDA HAQ</w:t>
      </w:r>
    </w:p>
    <w:p w14:paraId="5E05FE58" w14:textId="4AA101B6" w:rsidR="00045B89" w:rsidRPr="00045B89" w:rsidRDefault="00045B89" w:rsidP="00045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45B89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045B89">
        <w:rPr>
          <w:rFonts w:ascii="Times New Roman" w:hAnsi="Times New Roman" w:cs="Times New Roman"/>
          <w:sz w:val="36"/>
          <w:szCs w:val="36"/>
          <w:lang w:val="en-US"/>
        </w:rPr>
        <w:t>CLASS:                                 BSCS</w:t>
      </w:r>
    </w:p>
    <w:p w14:paraId="52E5A423" w14:textId="1DCB77DD" w:rsidR="00045B89" w:rsidRPr="00045B89" w:rsidRDefault="00045B89" w:rsidP="00045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45B89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045B89">
        <w:rPr>
          <w:rFonts w:ascii="Times New Roman" w:hAnsi="Times New Roman" w:cs="Times New Roman"/>
          <w:sz w:val="36"/>
          <w:szCs w:val="36"/>
          <w:lang w:val="en-US"/>
        </w:rPr>
        <w:t>SEMESTER:                         5</w:t>
      </w:r>
      <w:r w:rsidRPr="00045B8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045B89">
        <w:rPr>
          <w:rFonts w:ascii="Times New Roman" w:hAnsi="Times New Roman" w:cs="Times New Roman"/>
          <w:sz w:val="36"/>
          <w:szCs w:val="36"/>
          <w:lang w:val="en-US"/>
        </w:rPr>
        <w:t xml:space="preserve"> (A)</w:t>
      </w:r>
    </w:p>
    <w:p w14:paraId="72A15932" w14:textId="21C21D79" w:rsidR="00045B89" w:rsidRPr="00045B89" w:rsidRDefault="00045B89" w:rsidP="00045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45B89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045B89">
        <w:rPr>
          <w:rFonts w:ascii="Times New Roman" w:hAnsi="Times New Roman" w:cs="Times New Roman"/>
          <w:sz w:val="36"/>
          <w:szCs w:val="36"/>
          <w:lang w:val="en-US"/>
        </w:rPr>
        <w:t>ROLL NO:                            BCSM-F20-330</w:t>
      </w:r>
    </w:p>
    <w:p w14:paraId="4DECF616" w14:textId="77777777" w:rsidR="00045B89" w:rsidRPr="00045B89" w:rsidRDefault="00045B89" w:rsidP="00045B8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3F8091" w14:textId="3A47B070" w:rsidR="00045B89" w:rsidRPr="00045B89" w:rsidRDefault="00045B89" w:rsidP="00045B89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045B89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       Submitted To:                    Mam </w:t>
      </w:r>
      <w:proofErr w:type="spellStart"/>
      <w:r w:rsidRPr="00045B89">
        <w:rPr>
          <w:rFonts w:ascii="Times New Roman" w:hAnsi="Times New Roman" w:cs="Times New Roman"/>
          <w:color w:val="FF0000"/>
          <w:spacing w:val="3"/>
          <w:sz w:val="40"/>
          <w:szCs w:val="40"/>
        </w:rPr>
        <w:t>Qaisra</w:t>
      </w:r>
      <w:proofErr w:type="spellEnd"/>
      <w:r w:rsidRPr="00045B89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Honey</w:t>
      </w:r>
    </w:p>
    <w:p w14:paraId="7C25B3B2" w14:textId="6002218A" w:rsidR="00045B89" w:rsidRDefault="00045B89" w:rsidP="00045B8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CCD839F" w14:textId="033F5876" w:rsidR="00224ADE" w:rsidRDefault="00224ADE" w:rsidP="00045B8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0315759" w14:textId="6FF0B8D0" w:rsidR="00224ADE" w:rsidRDefault="00224ADE" w:rsidP="00045B8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0EEFF59" w14:textId="6BC6AF81" w:rsidR="00224ADE" w:rsidRDefault="00224ADE" w:rsidP="00045B8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047CE38" w14:textId="1DBEFE02" w:rsidR="00224ADE" w:rsidRDefault="00224ADE" w:rsidP="00045B8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3234707" w14:textId="3B68A924" w:rsidR="00224ADE" w:rsidRDefault="00224ADE" w:rsidP="00045B8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92D9C80" w14:textId="6BD3453B" w:rsidR="00224ADE" w:rsidRPr="005F509C" w:rsidRDefault="00224ADE" w:rsidP="00224ADE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44"/>
          <w:szCs w:val="44"/>
          <w:u w:val="single"/>
          <w:lang w:val="en-US"/>
        </w:rPr>
      </w:pPr>
      <w:r w:rsidRPr="005F509C">
        <w:rPr>
          <w:rFonts w:ascii="Times New Roman" w:hAnsi="Times New Roman" w:cs="Times New Roman"/>
          <w:b/>
          <w:bCs/>
          <w:color w:val="538135" w:themeColor="accent6" w:themeShade="BF"/>
          <w:sz w:val="44"/>
          <w:szCs w:val="44"/>
          <w:u w:val="single"/>
          <w:lang w:val="en-US"/>
        </w:rPr>
        <w:lastRenderedPageBreak/>
        <w:t>A Targeted Screening Program for Renal Cancer</w:t>
      </w:r>
    </w:p>
    <w:p w14:paraId="7DB8F2C6" w14:textId="3DC4CC91" w:rsidR="00224ADE" w:rsidRPr="005F509C" w:rsidRDefault="00224ADE" w:rsidP="00224ADE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5F509C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Introduction:</w:t>
      </w:r>
    </w:p>
    <w:p w14:paraId="41E89AC9" w14:textId="5CCECA7D" w:rsidR="00224ADE" w:rsidRDefault="00224ADE" w:rsidP="00224ADE">
      <w:pPr>
        <w:spacing w:line="240" w:lineRule="auto"/>
        <w:rPr>
          <w:rFonts w:cstheme="minorHAnsi"/>
          <w:color w:val="212121"/>
          <w:sz w:val="30"/>
          <w:szCs w:val="30"/>
          <w:shd w:val="clear" w:color="auto" w:fill="FFFFFF"/>
        </w:rPr>
      </w:pPr>
      <w:r w:rsidRPr="00224ADE">
        <w:rPr>
          <w:rFonts w:cstheme="minorHAnsi"/>
          <w:color w:val="212121"/>
          <w:sz w:val="30"/>
          <w:szCs w:val="30"/>
          <w:shd w:val="clear" w:color="auto" w:fill="FFFFFF"/>
        </w:rPr>
        <w:t>Renal cancer kills over 26,000 people per year in Europe and 13,000 in the United States</w:t>
      </w:r>
      <w:r>
        <w:rPr>
          <w:rFonts w:cstheme="minorHAnsi"/>
          <w:color w:val="212121"/>
          <w:sz w:val="30"/>
          <w:szCs w:val="30"/>
          <w:shd w:val="clear" w:color="auto" w:fill="FFFFFF"/>
          <w:lang w:val="en-US"/>
        </w:rPr>
        <w:t xml:space="preserve">, </w:t>
      </w:r>
      <w:r w:rsidR="003E1A66">
        <w:rPr>
          <w:rFonts w:cstheme="minorHAnsi"/>
          <w:color w:val="212121"/>
          <w:sz w:val="30"/>
          <w:szCs w:val="30"/>
          <w:shd w:val="clear" w:color="auto" w:fill="FFFFFF"/>
          <w:lang w:val="en-US"/>
        </w:rPr>
        <w:t>and</w:t>
      </w:r>
      <w:r>
        <w:rPr>
          <w:rFonts w:cstheme="minorHAnsi"/>
          <w:color w:val="212121"/>
          <w:sz w:val="30"/>
          <w:szCs w:val="30"/>
          <w:shd w:val="clear" w:color="auto" w:fill="FFFFFF"/>
          <w:lang w:val="en-US"/>
        </w:rPr>
        <w:t xml:space="preserve"> many people </w:t>
      </w:r>
      <w:r w:rsidR="003E1A66">
        <w:rPr>
          <w:rFonts w:cstheme="minorHAnsi"/>
          <w:color w:val="212121"/>
          <w:sz w:val="30"/>
          <w:szCs w:val="30"/>
          <w:shd w:val="clear" w:color="auto" w:fill="FFFFFF"/>
          <w:lang w:val="en-US"/>
        </w:rPr>
        <w:t xml:space="preserve">in Pakistan also </w:t>
      </w:r>
      <w:r>
        <w:rPr>
          <w:rFonts w:cstheme="minorHAnsi"/>
          <w:color w:val="212121"/>
          <w:sz w:val="30"/>
          <w:szCs w:val="30"/>
          <w:shd w:val="clear" w:color="auto" w:fill="FFFFFF"/>
          <w:lang w:val="en-US"/>
        </w:rPr>
        <w:t>suffer from this disease.</w:t>
      </w:r>
      <w:r w:rsidRPr="00224ADE">
        <w:rPr>
          <w:rFonts w:cstheme="minorHAnsi"/>
          <w:color w:val="212121"/>
          <w:sz w:val="30"/>
          <w:szCs w:val="30"/>
          <w:shd w:val="clear" w:color="auto" w:fill="FFFFFF"/>
        </w:rPr>
        <w:t xml:space="preserve"> If identified before metastatic spread, kidney cancer is usually surgically curable, whereas the median survival </w:t>
      </w:r>
      <w:r w:rsidR="003E1A66" w:rsidRPr="00224ADE">
        <w:rPr>
          <w:rFonts w:cstheme="minorHAnsi"/>
          <w:color w:val="212121"/>
          <w:sz w:val="30"/>
          <w:szCs w:val="30"/>
          <w:shd w:val="clear" w:color="auto" w:fill="FFFFFF"/>
        </w:rPr>
        <w:t>with cancer</w:t>
      </w:r>
      <w:r w:rsidRPr="00224ADE">
        <w:rPr>
          <w:rFonts w:cstheme="minorHAnsi"/>
          <w:color w:val="212121"/>
          <w:sz w:val="30"/>
          <w:szCs w:val="30"/>
          <w:shd w:val="clear" w:color="auto" w:fill="FFFFFF"/>
        </w:rPr>
        <w:t xml:space="preserve"> is only 2 years. Turney et al. proposed in 2006 that a screening program using ultrasound could have a major impact on renal cancer mortality</w:t>
      </w:r>
      <w:r w:rsidR="003E1A66">
        <w:rPr>
          <w:rFonts w:cstheme="minorHAnsi"/>
          <w:color w:val="212121"/>
          <w:sz w:val="30"/>
          <w:szCs w:val="30"/>
          <w:shd w:val="clear" w:color="auto" w:fill="FFFFFF"/>
          <w:lang w:val="en-US"/>
        </w:rPr>
        <w:t>,</w:t>
      </w:r>
      <w:r w:rsidRPr="00224ADE">
        <w:rPr>
          <w:rFonts w:cstheme="minorHAnsi"/>
          <w:color w:val="212121"/>
          <w:sz w:val="30"/>
          <w:szCs w:val="30"/>
          <w:shd w:val="clear" w:color="auto" w:fill="FFFFFF"/>
        </w:rPr>
        <w:t xml:space="preserve"> and that the treatment of renal masses would not be of net benefit in older populations. In the past 7 years, however, the natural history and epidemiology of renal cancer have become much clearer. Moreover, nephron-sparing surgery and minimally invasive ablation are now better established</w:t>
      </w:r>
      <w:r w:rsidR="003E1A66">
        <w:rPr>
          <w:rFonts w:cstheme="minorHAnsi"/>
          <w:color w:val="212121"/>
          <w:sz w:val="30"/>
          <w:szCs w:val="30"/>
          <w:shd w:val="clear" w:color="auto" w:fill="FFFFFF"/>
          <w:lang w:val="en-US"/>
        </w:rPr>
        <w:t xml:space="preserve">, </w:t>
      </w:r>
      <w:r w:rsidRPr="00224ADE">
        <w:rPr>
          <w:rFonts w:cstheme="minorHAnsi"/>
          <w:color w:val="212121"/>
          <w:sz w:val="30"/>
          <w:szCs w:val="30"/>
          <w:shd w:val="clear" w:color="auto" w:fill="FFFFFF"/>
        </w:rPr>
        <w:t>changing the cost-benefit ratio for treatment in older populations. These developments mean that a targeted renal cancer screening program is now a real option. The evidence for such a screening program is presented in three parts: first, an update on the natural history and risk factors; second, a calculation of the benefits and harms of screening in different populations, and third, lessons from other cancer screening programs. Finally, a clinical algorithm to aid with screening and treatment choices is presented.</w:t>
      </w:r>
    </w:p>
    <w:p w14:paraId="6554621C" w14:textId="034160B8" w:rsidR="003E1A66" w:rsidRPr="005F509C" w:rsidRDefault="003E1A66" w:rsidP="003E1A66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5F509C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 xml:space="preserve">RESEARCH QUESTIONS: </w:t>
      </w:r>
    </w:p>
    <w:p w14:paraId="2DFC61EB" w14:textId="6F119074" w:rsidR="003E1A66" w:rsidRDefault="003E1A66" w:rsidP="003E1A66">
      <w:pPr>
        <w:numPr>
          <w:ilvl w:val="0"/>
          <w:numId w:val="1"/>
        </w:numPr>
        <w:shd w:val="clear" w:color="auto" w:fill="FFFFFF"/>
        <w:spacing w:before="100" w:beforeAutospacing="1" w:after="150" w:line="320" w:lineRule="atLeast"/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</w:pPr>
      <w:r w:rsidRPr="003E1A66"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  <w:t>What type of kidney cancer</w:t>
      </w:r>
      <w:r w:rsidRPr="003E1A66">
        <w:rPr>
          <w:rFonts w:eastAsia="Times New Roman" w:cstheme="minorHAnsi"/>
          <w:color w:val="000000" w:themeColor="text1"/>
          <w:sz w:val="27"/>
          <w:szCs w:val="27"/>
          <w:lang w:val="en-US" w:eastAsia="en-PK"/>
        </w:rPr>
        <w:t xml:space="preserve"> people have</w:t>
      </w:r>
      <w:r w:rsidRPr="003E1A66"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  <w:t>?</w:t>
      </w:r>
    </w:p>
    <w:p w14:paraId="21C4880D" w14:textId="1D7890F6" w:rsidR="005F02C5" w:rsidRDefault="005F02C5" w:rsidP="003E1A66">
      <w:pPr>
        <w:numPr>
          <w:ilvl w:val="0"/>
          <w:numId w:val="1"/>
        </w:numPr>
        <w:shd w:val="clear" w:color="auto" w:fill="FFFFFF"/>
        <w:spacing w:before="100" w:beforeAutospacing="1" w:after="150" w:line="320" w:lineRule="atLeast"/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</w:pPr>
      <w:r w:rsidRPr="005F02C5"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  <w:t>What Causes Kidney Cancer?</w:t>
      </w:r>
    </w:p>
    <w:p w14:paraId="46454478" w14:textId="3D3577A1" w:rsidR="003E1A66" w:rsidRPr="003E1A66" w:rsidRDefault="003E1A66" w:rsidP="003E1A66">
      <w:pPr>
        <w:numPr>
          <w:ilvl w:val="0"/>
          <w:numId w:val="1"/>
        </w:numPr>
        <w:shd w:val="clear" w:color="auto" w:fill="FFFFFF"/>
        <w:spacing w:before="100" w:beforeAutospacing="1" w:after="150" w:line="320" w:lineRule="atLeast"/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</w:pPr>
      <w:r w:rsidRPr="003E1A66"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  <w:t>Where is the cancer located?</w:t>
      </w:r>
    </w:p>
    <w:p w14:paraId="79CE64F6" w14:textId="5FC70BB3" w:rsidR="003E1A66" w:rsidRPr="003E1A66" w:rsidRDefault="003E1A66" w:rsidP="003E1A66">
      <w:pPr>
        <w:numPr>
          <w:ilvl w:val="0"/>
          <w:numId w:val="1"/>
        </w:numPr>
        <w:shd w:val="clear" w:color="auto" w:fill="FFFFFF"/>
        <w:spacing w:before="100" w:beforeAutospacing="1" w:after="150" w:line="320" w:lineRule="atLeast"/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</w:pPr>
      <w:r w:rsidRPr="003E1A66"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  <w:t>What are my </w:t>
      </w:r>
      <w:hyperlink r:id="rId6" w:history="1">
        <w:r w:rsidRPr="003E1A66">
          <w:rPr>
            <w:rFonts w:eastAsia="Times New Roman" w:cstheme="minorHAnsi"/>
            <w:color w:val="2F5496" w:themeColor="accent1" w:themeShade="BF"/>
            <w:sz w:val="27"/>
            <w:szCs w:val="27"/>
            <w:u w:val="single"/>
            <w:lang w:val="en-PK" w:eastAsia="en-PK"/>
          </w:rPr>
          <w:t>treatment options</w:t>
        </w:r>
      </w:hyperlink>
      <w:r w:rsidRPr="003E1A66"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  <w:t>?</w:t>
      </w:r>
    </w:p>
    <w:p w14:paraId="3C9D3641" w14:textId="4DB97992" w:rsidR="003E1A66" w:rsidRDefault="003E1A66" w:rsidP="003E1A66">
      <w:pPr>
        <w:numPr>
          <w:ilvl w:val="0"/>
          <w:numId w:val="1"/>
        </w:numPr>
        <w:shd w:val="clear" w:color="auto" w:fill="FFFFFF"/>
        <w:spacing w:before="100" w:beforeAutospacing="1" w:after="150" w:line="320" w:lineRule="atLeast"/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</w:pPr>
      <w:r w:rsidRPr="003E1A66"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  <w:t>How will we know if the treatment is working?</w:t>
      </w:r>
    </w:p>
    <w:p w14:paraId="5F79AEAD" w14:textId="77777777" w:rsidR="005F509C" w:rsidRPr="003E1A66" w:rsidRDefault="005F509C" w:rsidP="005F509C">
      <w:pPr>
        <w:shd w:val="clear" w:color="auto" w:fill="FFFFFF"/>
        <w:spacing w:before="100" w:beforeAutospacing="1" w:after="150" w:line="320" w:lineRule="atLeast"/>
        <w:ind w:left="720"/>
        <w:rPr>
          <w:rFonts w:eastAsia="Times New Roman" w:cstheme="minorHAnsi"/>
          <w:color w:val="000000" w:themeColor="text1"/>
          <w:sz w:val="27"/>
          <w:szCs w:val="27"/>
          <w:lang w:val="en-PK" w:eastAsia="en-PK"/>
        </w:rPr>
      </w:pPr>
    </w:p>
    <w:p w14:paraId="4FB0D3C8" w14:textId="77777777" w:rsidR="005F509C" w:rsidRPr="005F509C" w:rsidRDefault="00DA6C37" w:rsidP="00DA6C3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5F509C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 xml:space="preserve">RESEARCH METHODOLOGY: </w:t>
      </w:r>
    </w:p>
    <w:p w14:paraId="61B8A425" w14:textId="5B89C754" w:rsidR="00DA6C37" w:rsidRPr="005F509C" w:rsidRDefault="00DA6C37" w:rsidP="00DA6C3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</w:rPr>
      </w:pPr>
      <w:r w:rsidRPr="00DA6C37">
        <w:rPr>
          <w:rFonts w:cstheme="minorHAnsi"/>
          <w:color w:val="000000" w:themeColor="text1"/>
          <w:sz w:val="24"/>
          <w:szCs w:val="24"/>
        </w:rPr>
        <w:lastRenderedPageBreak/>
        <w:t>To fulfill my research goals, I used various sources like surveys, journals, online articles,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researches, Documents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and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many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more.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All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these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helped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me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a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lot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to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accomplish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my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research</w:t>
      </w:r>
      <w:r w:rsidRPr="00DA6C37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DA6C37">
        <w:rPr>
          <w:rFonts w:cstheme="minorHAnsi"/>
          <w:color w:val="000000" w:themeColor="text1"/>
          <w:sz w:val="24"/>
          <w:szCs w:val="24"/>
        </w:rPr>
        <w:t>requirements.</w:t>
      </w:r>
    </w:p>
    <w:p w14:paraId="6DAC051D" w14:textId="2857F059" w:rsidR="00DA6C37" w:rsidRPr="00DA6C37" w:rsidRDefault="00DA6C37" w:rsidP="00DA6C3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2D22475" wp14:editId="50B0C3E4">
            <wp:extent cx="48768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E98E" w14:textId="77777777" w:rsidR="002E78EC" w:rsidRDefault="002E78EC" w:rsidP="00224ADE">
      <w:pPr>
        <w:spacing w:line="240" w:lineRule="auto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60B8D847" w14:textId="33867758" w:rsidR="002E78EC" w:rsidRDefault="002E78EC" w:rsidP="00224ADE">
      <w:pPr>
        <w:spacing w:line="240" w:lineRule="auto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REFERENCES:</w:t>
      </w:r>
    </w:p>
    <w:p w14:paraId="7D240781" w14:textId="77777777" w:rsidR="005F509C" w:rsidRPr="005F509C" w:rsidRDefault="005F509C" w:rsidP="005F509C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</w:pP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1. 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Ferlay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J,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Autier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P,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Boniol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M,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Heanue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M,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Colombet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M, Boyle P. Estimates of the cancer incidence and mortality in Europe in 2006. </w:t>
      </w:r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>Ann Oncol</w: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 (2007) 18(3):581–92 10.1093/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annonc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/mdl498 [</w:t>
      </w:r>
      <w:hyperlink r:id="rId8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PubMed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 [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begin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instrText xml:space="preserve"> HYPERLINK "https://doi.org/10.1093%2Fannonc%2Fmdl498" \t "_blank" </w:instrTex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separate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u w:val="single"/>
          <w:lang w:val="en-PK" w:eastAsia="en-PK"/>
        </w:rPr>
        <w:t>CrossRef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end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9" w:tgtFrame="_blank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Google Scholar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</w:t>
      </w:r>
    </w:p>
    <w:p w14:paraId="6A40D3ED" w14:textId="77777777" w:rsidR="005F509C" w:rsidRPr="005F509C" w:rsidRDefault="005F509C" w:rsidP="005F509C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</w:pP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2. Chow W-H,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Devesa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SS. Contemporary epidemiology of renal cell cancer. </w:t>
      </w:r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>Cancer J</w: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 (2008) 14(5):288–301 10.1097/PPO.0b013e3181867628 [</w:t>
      </w:r>
      <w:hyperlink r:id="rId10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PMC free article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11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PubMed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 [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begin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instrText xml:space="preserve"> HYPERLINK "https://doi.org/10.1097%2FPPO.0b013e3181867628" \t "_blank" </w:instrTex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separate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u w:val="single"/>
          <w:lang w:val="en-PK" w:eastAsia="en-PK"/>
        </w:rPr>
        <w:t>CrossRef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end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12" w:tgtFrame="_blank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Google Scholar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</w:t>
      </w:r>
    </w:p>
    <w:p w14:paraId="540F12DF" w14:textId="77777777" w:rsidR="005F509C" w:rsidRPr="005F509C" w:rsidRDefault="005F509C" w:rsidP="005F509C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</w:pP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3. Campbell SC, Novick AC,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Belldegrun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A,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Blute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ML, Chow GK,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Derweesh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IH, et al. Guideline for management of the clinical T1 renal mass. </w:t>
      </w:r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 xml:space="preserve">J </w:t>
      </w:r>
      <w:proofErr w:type="spellStart"/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>Urol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 (2009) 182(4):1271–9 10.1016/j.juro.2009.07.004 [</w:t>
      </w:r>
      <w:hyperlink r:id="rId13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PubMed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 [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begin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instrText xml:space="preserve"> HYPERLINK "https://doi.org/10.1016%2Fj.juro.2009.07.004" \t "_blank" </w:instrTex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separate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u w:val="single"/>
          <w:lang w:val="en-PK" w:eastAsia="en-PK"/>
        </w:rPr>
        <w:t>CrossRef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end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14" w:tgtFrame="_blank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Google Scholar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</w:t>
      </w:r>
    </w:p>
    <w:p w14:paraId="6153E4CE" w14:textId="77777777" w:rsidR="005F509C" w:rsidRPr="005F509C" w:rsidRDefault="005F509C" w:rsidP="005F509C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</w:pP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4. Motzer RJ, Hutson TE, Tomczak P, Michaelson MD, Bukowski RM,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Oudard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S, et al. Overall survival and updated results for sunitinib compared with interferon alfa in patients with metastatic renal cell carcinoma. </w:t>
      </w:r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>J Clin Oncol</w: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 (2009) 27(22):3584–90 10.1200/JCO.2008.20.1293 [</w:t>
      </w:r>
      <w:hyperlink r:id="rId15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PMC free article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16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PubMed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 [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begin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instrText xml:space="preserve"> HYPERLINK "https://doi.org/10.1200%2FJCO.2008.20.1293" \t "_blank" </w:instrTex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separate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u w:val="single"/>
          <w:lang w:val="en-PK" w:eastAsia="en-PK"/>
        </w:rPr>
        <w:t>CrossRef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end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17" w:tgtFrame="_blank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Google Scholar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</w:t>
      </w:r>
    </w:p>
    <w:p w14:paraId="6A7D8CF9" w14:textId="77777777" w:rsidR="005F509C" w:rsidRPr="005F509C" w:rsidRDefault="005F509C" w:rsidP="005F509C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</w:pP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5. Turney BW, Reynard JM, Cranston DW. A case for screening for renal cancer. </w:t>
      </w:r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>BJU Int</w: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 (2006) 97(2):220–1 10.1111/j.1464-410X.2006.06021.x [</w:t>
      </w:r>
      <w:hyperlink r:id="rId18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PubMed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 [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begin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instrText xml:space="preserve"> HYPERLINK "https://doi.org/10.1111%2Fj.1464-410X.2006.06021.x" \t "_blank" </w:instrTex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separate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u w:val="single"/>
          <w:lang w:val="en-PK" w:eastAsia="en-PK"/>
        </w:rPr>
        <w:t>CrossRef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end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19" w:tgtFrame="_blank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Google Scholar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</w:t>
      </w:r>
    </w:p>
    <w:p w14:paraId="6D961A00" w14:textId="77777777" w:rsidR="005F509C" w:rsidRPr="005F509C" w:rsidRDefault="005F509C" w:rsidP="005F509C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</w:pP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lastRenderedPageBreak/>
        <w:t xml:space="preserve">6. Parkinson R, Ramsey S, 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Aitchinson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 xml:space="preserve"> M, Kumar M, Parsons K. Letters in response to Turney et al 2006. </w:t>
      </w:r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>BJU Int</w: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 (2006) 97:1121–4 [</w:t>
      </w:r>
      <w:hyperlink r:id="rId20" w:tgtFrame="_blank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Google Scholar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</w:t>
      </w:r>
    </w:p>
    <w:p w14:paraId="32706145" w14:textId="77777777" w:rsidR="005F509C" w:rsidRPr="005F509C" w:rsidRDefault="005F509C" w:rsidP="005F509C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</w:pP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7. El Dib R, Touma NJ, Kapoor A. Cryoablation vs radiofrequency ablation for the treatment of renal cell carcinoma: a meta-analysis of case series studies. </w:t>
      </w:r>
      <w:r w:rsidRPr="005F509C">
        <w:rPr>
          <w:rFonts w:ascii="Cambria" w:eastAsia="Times New Roman" w:hAnsi="Cambria" w:cs="Times New Roman"/>
          <w:i/>
          <w:iCs/>
          <w:color w:val="000000" w:themeColor="text1"/>
          <w:sz w:val="26"/>
          <w:szCs w:val="26"/>
          <w:lang w:val="en-PK" w:eastAsia="en-PK"/>
        </w:rPr>
        <w:t>BJU Int</w: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 (2012) 110(4):510–6 10.1111/j.1464-410X.2011.10885.x [</w:t>
      </w:r>
      <w:hyperlink r:id="rId21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PubMed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 [</w:t>
      </w:r>
      <w:proofErr w:type="spellStart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begin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instrText xml:space="preserve"> HYPERLINK "https://doi.org/10.1111%2Fj.1464-410X.2011.10885.x" \t "_blank" </w:instrText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separate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u w:val="single"/>
          <w:lang w:val="en-PK" w:eastAsia="en-PK"/>
        </w:rPr>
        <w:t>CrossRef</w:t>
      </w:r>
      <w:proofErr w:type="spellEnd"/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fldChar w:fldCharType="end"/>
      </w:r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 [</w:t>
      </w:r>
      <w:hyperlink r:id="rId22" w:tgtFrame="_blank" w:history="1">
        <w:r w:rsidRPr="005F509C">
          <w:rPr>
            <w:rFonts w:ascii="Cambria" w:eastAsia="Times New Roman" w:hAnsi="Cambria" w:cs="Times New Roman"/>
            <w:color w:val="000000" w:themeColor="text1"/>
            <w:sz w:val="26"/>
            <w:szCs w:val="26"/>
            <w:u w:val="single"/>
            <w:lang w:val="en-PK" w:eastAsia="en-PK"/>
          </w:rPr>
          <w:t>Google Scholar</w:t>
        </w:r>
      </w:hyperlink>
      <w:r w:rsidRPr="005F509C">
        <w:rPr>
          <w:rFonts w:ascii="Cambria" w:eastAsia="Times New Roman" w:hAnsi="Cambria" w:cs="Times New Roman"/>
          <w:color w:val="000000" w:themeColor="text1"/>
          <w:sz w:val="26"/>
          <w:szCs w:val="26"/>
          <w:lang w:val="en-PK" w:eastAsia="en-PK"/>
        </w:rPr>
        <w:t>]</w:t>
      </w:r>
    </w:p>
    <w:p w14:paraId="489D445C" w14:textId="77777777" w:rsidR="005F509C" w:rsidRPr="002E78EC" w:rsidRDefault="005F509C" w:rsidP="00224ADE">
      <w:pPr>
        <w:spacing w:line="240" w:lineRule="auto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sectPr w:rsidR="005F509C" w:rsidRPr="002E78EC" w:rsidSect="00045B89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5A6"/>
    <w:multiLevelType w:val="multilevel"/>
    <w:tmpl w:val="74F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37BB"/>
    <w:multiLevelType w:val="multilevel"/>
    <w:tmpl w:val="62F6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0D86"/>
    <w:multiLevelType w:val="hybridMultilevel"/>
    <w:tmpl w:val="0F9E5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6DB2"/>
    <w:multiLevelType w:val="multilevel"/>
    <w:tmpl w:val="4E0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25068"/>
    <w:multiLevelType w:val="multilevel"/>
    <w:tmpl w:val="DF2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2152B"/>
    <w:multiLevelType w:val="multilevel"/>
    <w:tmpl w:val="896C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162DD"/>
    <w:multiLevelType w:val="multilevel"/>
    <w:tmpl w:val="E3E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616324">
    <w:abstractNumId w:val="5"/>
  </w:num>
  <w:num w:numId="2" w16cid:durableId="1860701501">
    <w:abstractNumId w:val="3"/>
  </w:num>
  <w:num w:numId="3" w16cid:durableId="2117480850">
    <w:abstractNumId w:val="4"/>
  </w:num>
  <w:num w:numId="4" w16cid:durableId="1472945357">
    <w:abstractNumId w:val="1"/>
  </w:num>
  <w:num w:numId="5" w16cid:durableId="1963222847">
    <w:abstractNumId w:val="0"/>
  </w:num>
  <w:num w:numId="6" w16cid:durableId="793913309">
    <w:abstractNumId w:val="6"/>
  </w:num>
  <w:num w:numId="7" w16cid:durableId="1648195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89"/>
    <w:rsid w:val="00045B89"/>
    <w:rsid w:val="00224ADE"/>
    <w:rsid w:val="002E78EC"/>
    <w:rsid w:val="003E1A66"/>
    <w:rsid w:val="005F02C5"/>
    <w:rsid w:val="005F509C"/>
    <w:rsid w:val="007E6034"/>
    <w:rsid w:val="00D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A1D2"/>
  <w15:chartTrackingRefBased/>
  <w15:docId w15:val="{44846B6F-D115-47C8-AA1D-837BABE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A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2C5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5F02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DA6C37"/>
    <w:rPr>
      <w:b/>
      <w:bCs/>
    </w:rPr>
  </w:style>
  <w:style w:type="character" w:customStyle="1" w:styleId="mixed-citation">
    <w:name w:val="mixed-citation"/>
    <w:basedOn w:val="DefaultParagraphFont"/>
    <w:rsid w:val="005F509C"/>
  </w:style>
  <w:style w:type="character" w:customStyle="1" w:styleId="ref-title">
    <w:name w:val="ref-title"/>
    <w:basedOn w:val="DefaultParagraphFont"/>
    <w:rsid w:val="005F509C"/>
  </w:style>
  <w:style w:type="character" w:customStyle="1" w:styleId="ref-journal">
    <w:name w:val="ref-journal"/>
    <w:basedOn w:val="DefaultParagraphFont"/>
    <w:rsid w:val="005F509C"/>
  </w:style>
  <w:style w:type="character" w:customStyle="1" w:styleId="ref-vol">
    <w:name w:val="ref-vol"/>
    <w:basedOn w:val="DefaultParagraphFont"/>
    <w:rsid w:val="005F509C"/>
  </w:style>
  <w:style w:type="character" w:customStyle="1" w:styleId="ref-iss">
    <w:name w:val="ref-iss"/>
    <w:basedOn w:val="DefaultParagraphFont"/>
    <w:rsid w:val="005F509C"/>
  </w:style>
  <w:style w:type="character" w:customStyle="1" w:styleId="nowrap">
    <w:name w:val="nowrap"/>
    <w:basedOn w:val="DefaultParagraphFont"/>
    <w:rsid w:val="005F5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29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45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75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87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973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75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16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7287242" TargetMode="External"/><Relationship Id="rId13" Type="http://schemas.openxmlformats.org/officeDocument/2006/relationships/hyperlink" Target="https://pubmed.ncbi.nlm.nih.gov/19683266" TargetMode="External"/><Relationship Id="rId18" Type="http://schemas.openxmlformats.org/officeDocument/2006/relationships/hyperlink" Target="https://pubmed.ncbi.nlm.nih.gov/164306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22304329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scholar.google.com/scholar_lookup?journal=Cancer+J&amp;title=Contemporary+epidemiology+of+renal+cell+cancer&amp;author=W-H+Chow&amp;author=SS+Devesa&amp;volume=14&amp;issue=5&amp;publication_year=2008&amp;pages=288-301&amp;pmid=18836333&amp;doi=10.1097/PPO.0b013e3181867628&amp;" TargetMode="External"/><Relationship Id="rId17" Type="http://schemas.openxmlformats.org/officeDocument/2006/relationships/hyperlink" Target="https://scholar.google.com/scholar_lookup?journal=J+Clin+Oncol&amp;title=Overall+survival+and+updated+results+for+sunitinib+compared+with+interferon+alfa+in+patients+with+metastatic+renal+cell+carcinoma&amp;author=RJ+Motzer&amp;author=TE+Hutson&amp;author=P+Tomczak&amp;author=MD+Michaelson&amp;author=RM+Bukowski&amp;volume=27&amp;issue=22&amp;publication_year=2009&amp;pages=3584-90&amp;pmid=19487381&amp;doi=10.1200/JCO.2008.20.1293&amp;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19487381" TargetMode="External"/><Relationship Id="rId20" Type="http://schemas.openxmlformats.org/officeDocument/2006/relationships/hyperlink" Target="https://scholar.google.com/scholar_lookup?journal=BJU+Int&amp;title=Letters+in+response+to+Turney+et+al+2006&amp;author=R+Parkinson&amp;author=S+Ramsey&amp;author=M+Aitchinson&amp;author=M+Kumar&amp;author=K+Parsons&amp;volume=97&amp;publication_year=2006&amp;pages=1121-4&amp;pmid=16643503&amp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cer.org/cancer/kidney-cancer/treating.html" TargetMode="External"/><Relationship Id="rId11" Type="http://schemas.openxmlformats.org/officeDocument/2006/relationships/hyperlink" Target="https://pubmed.ncbi.nlm.nih.gov/1883633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fif"/><Relationship Id="rId15" Type="http://schemas.openxmlformats.org/officeDocument/2006/relationships/hyperlink" Target="https://www.ncbi.nlm.nih.gov/pmc/articles/PMC3646307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cbi.nlm.nih.gov/pmc/articles/PMC3077538/" TargetMode="External"/><Relationship Id="rId19" Type="http://schemas.openxmlformats.org/officeDocument/2006/relationships/hyperlink" Target="https://scholar.google.com/scholar_lookup?journal=BJU+Int&amp;title=A+case+for+screening+for+renal+cancer&amp;author=BW+Turney&amp;author=JM+Reynard&amp;author=DW+Cranston&amp;volume=97&amp;issue=2&amp;publication_year=2006&amp;pages=220-1&amp;pmid=16430615&amp;doi=10.1111/j.1464-410X.2006.06021.x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scholar_lookup?journal=Ann+Oncol&amp;title=Estimates+of+the+cancer+incidence+and+mortality+in+Europe+in+2006&amp;author=J+Ferlay&amp;author=P+Autier&amp;author=M+Boniol&amp;author=M+Heanue&amp;author=M+Colombet&amp;volume=18&amp;issue=3&amp;publication_year=2007&amp;pages=581-92&amp;pmid=17287242&amp;doi=10.1093/annonc/mdl498&amp;" TargetMode="External"/><Relationship Id="rId14" Type="http://schemas.openxmlformats.org/officeDocument/2006/relationships/hyperlink" Target="https://scholar.google.com/scholar_lookup?journal=J+Urol&amp;title=Guideline+for+management+of+the+clinical+T1+renal+mass&amp;author=SC+Campbell&amp;author=AC+Novick&amp;author=A+Belldegrun&amp;author=ML+Blute&amp;author=GK+Chow&amp;volume=182&amp;issue=4&amp;publication_year=2009&amp;pages=1271-9&amp;pmid=19683266&amp;doi=10.1016/j.juro.2009.07.004&amp;" TargetMode="External"/><Relationship Id="rId22" Type="http://schemas.openxmlformats.org/officeDocument/2006/relationships/hyperlink" Target="https://scholar.google.com/scholar_lookup?journal=BJU+Int&amp;title=Cryoablation+vs+radiofrequency+ablation+for+the+treatment+of+renal+cell+carcinoma:+a+meta-analysis+of+case+series+studies&amp;author=R+El+Dib&amp;author=NJ+Touma&amp;author=A+Kapoor&amp;volume=110&amp;issue=4&amp;publication_year=2012&amp;pages=510-6&amp;pmid=22304329&amp;doi=10.1111/j.1464-410X.2011.10885.x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Haq</dc:creator>
  <cp:keywords/>
  <dc:description/>
  <cp:lastModifiedBy>Maida Haq</cp:lastModifiedBy>
  <cp:revision>1</cp:revision>
  <dcterms:created xsi:type="dcterms:W3CDTF">2022-11-18T15:05:00Z</dcterms:created>
  <dcterms:modified xsi:type="dcterms:W3CDTF">2022-11-18T18:31:00Z</dcterms:modified>
</cp:coreProperties>
</file>