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LB</w:t>
      </w:r>
      <w:r>
        <w:rPr>
          <w:rFonts w:ascii="Almarai ExtraBold" w:eastAsia="Times New Roman" w:hAnsi="Almarai ExtraBold" w:cs="Almarai ExtraBold"/>
          <w:color w:val="000000"/>
          <w:sz w:val="44"/>
          <w:szCs w:val="44"/>
          <w:rtl/>
        </w:rPr>
        <w:t xml:space="preserve"> </w:t>
      </w:r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 xml:space="preserve">فرائض </w:t>
      </w:r>
      <w:r>
        <w:rPr>
          <w:rFonts w:ascii="Almarai ExtraBold" w:eastAsia="Times New Roman" w:hAnsi="Almarai ExtraBold" w:cs="Almarai ExtraBold"/>
          <w:color w:val="00B050"/>
          <w:sz w:val="44"/>
          <w:szCs w:val="44"/>
          <w:rtl/>
        </w:rPr>
        <w:t xml:space="preserve">الوضوء </w:t>
      </w:r>
      <w:r>
        <w:rPr>
          <w:rFonts w:ascii="Almarai ExtraBold" w:eastAsia="Times New Roman" w:hAnsi="Almarai ExtraBold" w:cs="Almarai ExtraBold"/>
          <w:color w:val="0070C0"/>
          <w:sz w:val="44"/>
          <w:szCs w:val="44"/>
          <w:rtl/>
        </w:rPr>
        <w:t>وسننه ومستحباته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70C0"/>
          <w:sz w:val="36"/>
          <w:szCs w:val="36"/>
        </w:rPr>
        <w:t>EL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MB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بسم الله الرحمن الرحيم، والصلاة والسلام على أشرف المرسلين سيدنا محمد النبيِّ الأمي الكريم، صلى الله عليه وعلى آله وصحبه أجمعين، ثم أما بعد: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70C0"/>
          <w:sz w:val="28"/>
          <w:szCs w:val="28"/>
          <w:rtl/>
        </w:rPr>
        <w:t>فنبدأ بعون الله تعالى في محاضرات مادة الفقه الحنفي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وستبدأ عزيزي الطالب في دراسة المحاضرة الأولى،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وستدرس في هذه المحاضرة: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تعريفَ الطهارة لغة وشرعًا، وفرائضَ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الوضوء، وسننه، ومستحباته، ومكروهاته، وحدود الأعضاء المغسولة، والممسوحة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323E4F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323E4F"/>
          <w:sz w:val="36"/>
          <w:szCs w:val="36"/>
        </w:rPr>
        <w:t>EM</w:t>
      </w:r>
      <w:r>
        <w:rPr>
          <w:rFonts w:ascii="Calibri" w:eastAsia="Times New Roman" w:hAnsi="Calibri" w:cs="Calibri"/>
          <w:color w:val="323E4F"/>
          <w:sz w:val="36"/>
          <w:szCs w:val="36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323E4F"/>
          <w:sz w:val="36"/>
          <w:szCs w:val="36"/>
        </w:rPr>
        <w:t>FB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يرجى لك عزيزي الطالب بعد دراستك لهذه المحاضرة أن: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/</w:t>
      </w:r>
      <w:bookmarkStart w:id="0" w:name="_GoBack"/>
      <w:bookmarkEnd w:id="0"/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تُعرِّف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الطهارة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شرعًا.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تبين سبب فرضية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تعدد فرائض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توضح حدود فرائض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تعدد سنن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تذكر مستحبات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323E4F"/>
          <w:sz w:val="36"/>
          <w:szCs w:val="36"/>
        </w:rPr>
        <w:t>EF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28"/>
          <w:szCs w:val="28"/>
          <w:rtl/>
        </w:rPr>
        <w:t xml:space="preserve">الطهارة 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>لغة وشرعًا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الطهارة لغة: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مطلق النظافة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> 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وشرعًا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النظافة عن النجاسات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[1] نجاسة حقيقية وهي الخبث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حكمية وهي </w:t>
      </w:r>
      <w:hyperlink r:id="rId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الحَدَث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أقسام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الطهارة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من الحدث: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 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تنقسم الطهارة من النجاسة بالاعتبار الثاني (الحكمية) إلى: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/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[1] الكبرى؛ واسمها الخاص: الغُسل، والموجِب له: الحدثُ الأكبر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الصغرى؛ واسمها الخاص: الوضوء، والموجِب له: الحدث الأصغر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[3] التيمم؛ فإنه طهارة حكمية يَخلُفهما معًا، ويَخلُف كلًّا منهما منفردًا عن الآخر .</w:t>
      </w:r>
    </w:p>
    <w:p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P-01-01-01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وجه تقديم الكلام على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العبادات على غيرها اهتمامًا بها؛ لأن الجن والإنس لم تخلق إلا لها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قدمت الصلاة من بينها لأنها عِمادها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الطهارة عليها لأنها مفتاحها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قُدمت طهارة الوضوء لكثرة تكرارها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لغة وشرعًا</w:t>
      </w:r>
      <w:r>
        <w:rPr>
          <w:rFonts w:ascii="Calibri" w:eastAsia="Times New Roman" w:hAnsi="Calibri" w:cs="Calibri"/>
          <w:color w:val="0070C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الوضوء في اللغة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من الوَضاءة؛ وهو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الحسن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وفي الشرع: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الغَسل والمسح في أعضاء مخصوصة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lastRenderedPageBreak/>
        <w:t>وفي المعنى الشرعي المعنى اللغوي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لأنه يحسن به الأعضاء التي يقع فيها الغَسل والمسح؛ فالغَسل: هو الإسالة، والمسح: الإصابة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سبب فرضية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وسبب فرضية الوضوء: إرادة الصلاة مع وجود </w:t>
      </w:r>
      <w:hyperlink r:id="rId7" w:history="1"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الحَدَث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>{إِذَا قُمْتُمْ إِلَى الصَّلَاةِ فَاغْسِلُوا}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[المائدة: 6]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G-O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قال </w:t>
      </w:r>
      <w:hyperlink r:id="rId8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ابن عباس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معناه إذا أردتم القيام إلى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الصلاة وأنتم محدثون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الفرض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وإطلاقاته</w:t>
      </w:r>
      <w:r>
        <w:rPr>
          <w:rFonts w:ascii="Calibri" w:eastAsia="Times New Roman" w:hAnsi="Calibri" w:cs="Calibri"/>
          <w:color w:val="0070C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</w:t>
      </w:r>
      <w:hyperlink r:id="rId9" w:history="1">
        <w:r>
          <w:rPr>
            <w:rFonts w:ascii="Almarai" w:eastAsia="Times New Roman" w:hAnsi="Almarai" w:cs="Almarai"/>
            <w:b/>
            <w:bCs/>
            <w:color w:val="00B0F0"/>
            <w:sz w:val="28"/>
            <w:szCs w:val="28"/>
            <w:u w:val="single"/>
            <w:rtl/>
          </w:rPr>
          <w:t>الفرض</w:t>
        </w:r>
      </w:hyperlink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 xml:space="preserve"> لغة: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التقدير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شرعًا: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ما ثبت لزومه بدليل قطعي لا شبهة فيه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أصل الغَسل والمسح في أعضاء الوضوء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الفرض علمًا وعملًا، ويسمى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الفرض القطعي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كثيرًا ما يطلق الفرض على ما يفوت الجواز بفوته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غسلِ ومسحِ مقدارٍ معين فيها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الفرض عملًا لا علمًا، ويسمى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الفرض الاجتهادي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P-01-01-02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فرائض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الوضوء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وحدودها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Sakkal Majalla" w:eastAsia="Times New Roman" w:hAnsi="Sakkal Majalla" w:cs="Sakkal Majalla"/>
          <w:color w:val="0070C0"/>
          <w:sz w:val="32"/>
          <w:szCs w:val="32"/>
          <w:rtl/>
        </w:rPr>
        <w:t xml:space="preserve"> ‏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 Bold" w:eastAsia="Times New Roman" w:hAnsi="Almarai Bold" w:cs="Almarai Bold"/>
          <w:color w:val="0070C0"/>
          <w:sz w:val="28"/>
          <w:szCs w:val="28"/>
          <w:rtl/>
        </w:rPr>
        <w:t xml:space="preserve"> وفرضه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الوجه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اليدين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مع </w:t>
      </w:r>
      <w:hyperlink r:id="rId1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المرفقين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مسح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ربع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الرأس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الرجلين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مع </w:t>
      </w:r>
      <w:hyperlink r:id="rId1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الكعبين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>{يَاأَيُّهَا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الْكَعْبَيْنِ}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[المائدة: 6]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تعريف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الوجه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وحدوده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الوجه: ما يواجَه به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وهو من </w:t>
      </w:r>
      <w:hyperlink r:id="rId12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قُصاص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الشَّعَر إلى أسفل </w:t>
      </w:r>
      <w:hyperlink r:id="rId13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الذقن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طولًا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وما بين </w:t>
      </w:r>
      <w:hyperlink r:id="rId14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شحمتي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الأذنين عرضًا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وسقط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غسل باطن العينين؛ لما فيه من المشقة وخوف الضرر بهما، وبه تسقط الطهارة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غسل ما بين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العذار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الأذن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ذهب أبو حنيفة ومحمد إلى أنه يجب غسل ما بين </w:t>
      </w:r>
      <w:hyperlink r:id="rId15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العِذَار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والأذن؛ لأنه من الوَجْهِ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خالف أبو يوسف في غسل ما بين العذار والأذن بعد نبات اللحية؛ لسقوط غسل ما تحت </w:t>
      </w:r>
      <w:hyperlink r:id="rId16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العِذَار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وهو أقرب منه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G-C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17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قلنا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سقط ذلك للحائل، ولا حائل هنا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P-01-01-03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الخلاف في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المرفقين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الكعبين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قال </w:t>
      </w:r>
      <w:hyperlink r:id="rId1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زفر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لا يدخل المرفقان والكعبان في الغَسل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G-R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 «إلى» للغاية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قال الإمام أبو حنيفة والصاحبان: لا يدخلان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G-C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تستعمل «إلى» بمعنى «مع»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G-TH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قال الله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 xml:space="preserve">{وَلَا تَأْكُلُوا أَمْوَالَهُمْ إِلَى أَمْوَالِكُمْ}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[النساء: 2]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فتكون الآية </w:t>
      </w:r>
      <w:hyperlink r:id="rId19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مجملةً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وقد وردت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hyperlink r:id="rId20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21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>مفسرة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22" w:history="1">
        <w:r>
          <w:rPr>
            <w:rFonts w:ascii="Almarai" w:eastAsia="Times New Roman" w:hAnsi="Almarai" w:cs="Almarai"/>
            <w:color w:val="00B0F0"/>
            <w:sz w:val="28"/>
            <w:szCs w:val="28"/>
            <w:rtl/>
          </w:rPr>
          <w:t> </w:t>
        </w:r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>فقد صح أنه- صلى الله عليه وسلم- أدار الماء على مرافقه، ورأى رجلًا توضأ ولم يُوصِل الماء إلى كعبيه فقال: «ويل للأعقاب من النار» وأمره بغسلهما .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حكم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مسح الرأس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الآية </w:t>
      </w:r>
      <w:hyperlink r:id="rId2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مجملةٌ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مسح الرأس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G-KL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تحتمل إرادة الجميع كما قال </w:t>
      </w:r>
      <w:hyperlink r:id="rId2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مالك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تحتمل إرادة ما تناوله اسم المسح كما قاله </w:t>
      </w:r>
      <w:hyperlink r:id="rId2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الشافعي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تحتمل إرادة بعضه كما ذهب إليه </w:t>
      </w:r>
      <w:hyperlink r:id="rId2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أصحابنا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27" w:history="1">
        <w:r>
          <w:rPr>
            <w:rFonts w:ascii="Almarai" w:eastAsia="Times New Roman" w:hAnsi="Almarai" w:cs="Almarai"/>
            <w:color w:val="000000"/>
            <w:sz w:val="28"/>
            <w:szCs w:val="28"/>
            <w:rtl/>
          </w:rPr>
          <w:t xml:space="preserve">وقد </w:t>
        </w:r>
        <w:r>
          <w:rPr>
            <w:rFonts w:ascii="Almarai" w:eastAsia="Times New Roman" w:hAnsi="Almarai" w:cs="Almarai"/>
            <w:color w:val="0070C0"/>
            <w:sz w:val="28"/>
            <w:szCs w:val="28"/>
            <w:rtl/>
          </w:rPr>
          <w:t>صح أن النبي -صلى الله عليه وسلم- توضأ فمسح بناصيته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u w:val="single"/>
          <w:rtl/>
        </w:rPr>
        <w:t>؛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وذلك لما روى المغيرة بن شعبة- رضي الله تعالى عنه-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النبي- صلى الله عليه و سلم- أتى سُباطةَ- بالضم : أي كناسة- قومٍ فبال وتوضأ ومسح على ناصيته وخُفَّيه )،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فكان بيانًا للآية وحجة عليهما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مقدار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مسح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الناصية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و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عدد مرات المسح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: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2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المختار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مقدار </w:t>
      </w:r>
      <w:hyperlink r:id="rId2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الناصية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ما ذُكر في «الكتاب» وهو الربع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ولا يزيد على مرة واحدة؛ لأن بالتكرار يصير غسلًا، والمأمور به المسح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P-01-01-04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السنة: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hyperlink r:id="rId3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السنن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جمع </w:t>
      </w:r>
      <w:hyperlink r:id="rId3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؛ وهي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الطريقة مَرضية كانت أو غير مَرضية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وفي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الشريعة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ما واظب عليه النبي- صلى الله عليه وسلم- مع الترك أحيانًا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سنن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الوضوء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 Bold" w:eastAsia="Times New Roman" w:hAnsi="Almarai Bold" w:cs="Almarai Bold"/>
          <w:color w:val="00B050"/>
          <w:sz w:val="28"/>
          <w:szCs w:val="28"/>
          <w:rtl/>
        </w:rPr>
        <w:t xml:space="preserve"> وسنن الوضوء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غسل اليدين إلى </w:t>
      </w:r>
      <w:hyperlink r:id="rId3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الرسغين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ثلاثًا قبل إدخالهما في الإناء لمن استيقظ من نومه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3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لحديث المستيقظ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وهو "إذا استيقظ أحدُكم من نومه فلا يغمِس يده في إنائه حتى يغسلها ثلاثاً، فإنه لا يدري أين باتت يَدُهُ"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 xml:space="preserve"> كيفية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الغسل </w:t>
      </w:r>
      <w:r>
        <w:rPr>
          <w:rFonts w:ascii="Almarai Bold" w:eastAsia="Times New Roman" w:hAnsi="Almarai Bold" w:cs="Almarai Bold"/>
          <w:color w:val="404040"/>
          <w:sz w:val="32"/>
          <w:szCs w:val="32"/>
          <w:rtl/>
        </w:rPr>
        <w:t>من الإناء: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قيل: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إن كان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الإناء صغيرًا يرفعه بيده اليسرى ويصب على اليمنى، ثم باليمنى فيصب على اليسرى، لتقع </w:t>
      </w:r>
      <w:hyperlink r:id="rId3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البداءة باليمنى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كما هو </w:t>
      </w:r>
      <w:hyperlink r:id="rId3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وإن كان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الإناء كبيرًا يدخل أصابع يده اليسرى مضمومةً دون الكف، ويأخذ الماء فيغسل يديه لوقوع الكفاية بذلك، ولا يكتفي بدون ذلك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العادة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تسمية الله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تعالى في ابتدائه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لمواظبته- صلى الله عليه وسلم- عليها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وقال-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36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مَنْ تَوَضَّأَ وَذَكَرَ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اسْمَ الله تَعَالَى كَانَ طَهُورًا لِجَمِيعِ بَدَنِهِ، وَمَنْ تَوَضَّأَ وَلَمْ يَذْكُرِ اسْمَ الله عَلَيْهِ كَانَ طَهُورًا لِمَا أَصَابَ الْـمَاءَ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 .</w:t>
      </w:r>
      <w:r>
        <w:rPr>
          <w:rFonts w:ascii="Calibri" w:eastAsia="Times New Roman" w:hAnsi="Calibri" w:cs="Calibri"/>
          <w:color w:val="0070C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[3]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السِّواك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لأنه- صلى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الله عليه وسلم- واظب عليه وقال: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37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أَوْصَانِي خَلِيلِي جِبْرِيلُ بِالسِّوَاكِ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 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قالوا: </w:t>
      </w:r>
      <w:r>
        <w:rPr>
          <w:rFonts w:ascii="Almarai" w:eastAsia="Times New Roman" w:hAnsi="Almarai" w:cs="Almarai"/>
          <w:color w:val="00B0F0"/>
          <w:sz w:val="28"/>
          <w:szCs w:val="28"/>
          <w:rtl/>
        </w:rPr>
        <w:t>و</w:t>
      </w:r>
      <w:hyperlink r:id="rId3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الأصح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أنه </w:t>
      </w:r>
      <w:hyperlink r:id="rId3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المضمضة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[5]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والاستنشاق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ثلاثًا ثلاثًا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يأخذ لكل مرة ماءً جديدًا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40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لمواظبته- صلى </w:t>
        </w:r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الله عليه وسلم- على ذلك كذلك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مسح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جميع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الرأس والأذنين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بماء واحد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</w:t>
      </w:r>
      <w:hyperlink r:id="rId41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لما روي أنه-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وسلم- توضأ ومسح بجميع رأسه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.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وقد تقدم أنه مسح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بناصيته، فيكون </w:t>
      </w:r>
      <w:hyperlink r:id="rId4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فرضًا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ويكون مسح الجميع </w:t>
      </w:r>
      <w:hyperlink r:id="rId4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>ً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وقال-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44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الْأُذُنَانِ مِنَ الرَّأْسِ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»،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والمراد بيان الحكم دون الخِلقة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إن مسح الأذنين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أدب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[7]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تخليل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اللحية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 لما روي </w:t>
      </w:r>
      <w:hyperlink r:id="rId45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أنه- صلى </w:t>
        </w:r>
        <w:r>
          <w:rPr>
            <w:rFonts w:ascii="Sakkal Majalla" w:eastAsia="Times New Roman" w:hAnsi="Sakkal Majalla" w:cs="Sakkal Majalla"/>
            <w:color w:val="00000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الله عليه وسلم- كان إذا توضأ شبَّك أصابعه في لحيته كأنها أسنان المشط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[1] تخليل اللحية سنة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وقيل: هو </w:t>
      </w:r>
      <w:hyperlink r:id="rId4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</w:t>
      </w:r>
      <w:hyperlink r:id="rId47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أبي يوسف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جائزٌ </w:t>
      </w:r>
      <w:hyperlink r:id="rId48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عندهما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u w:val="single"/>
          <w:rtl/>
        </w:rPr>
        <w:t>؛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لأن</w:t>
      </w:r>
      <w:hyperlink r:id="rId49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 xml:space="preserve"> 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: إكمال</w:t>
      </w:r>
      <w:hyperlink r:id="rId5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 xml:space="preserve"> 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محله، وباطن اللحية لم يبق محلًّا </w:t>
      </w:r>
      <w:hyperlink r:id="rId5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للفرض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[8]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تخليل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الأصابع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لأنه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إكمال </w:t>
      </w:r>
      <w:hyperlink r:id="rId5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في محله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ولقوله- عليه الصلاة والسلام-: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«</w:t>
      </w:r>
      <w:hyperlink r:id="rId53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خَلِّلُوا أَصَابِعَكُمْ قَبْلَ أَنْ تَتَخَلَّلَهَا نَارُ جَهَنَّمَ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[9]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تثليث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الغسل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الواحدة </w:t>
      </w:r>
      <w:hyperlink r:id="rId5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فرض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والثالثة </w:t>
      </w:r>
      <w:hyperlink r:id="rId5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سُنة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والثانية دونها في الفضيلة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lastRenderedPageBreak/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</w:t>
      </w:r>
      <w:hyperlink r:id="rId56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أصله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57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الحديث المشهور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أنه عليه </w:t>
      </w:r>
      <w:r>
        <w:rPr>
          <w:rFonts w:ascii="Sakkal Majalla" w:eastAsia="Times New Roman" w:hAnsi="Sakkal Majalla" w:cs="Sakkal Majalla"/>
          <w:color w:val="0070C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الصلاة والسلام توضأ ثلاثًا وقال: «</w:t>
      </w:r>
      <w:hyperlink r:id="rId58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هَذَا وُضُوئِي وَوُضُوءُ الْأَنْبِيَاءِ مِنْ قَبْلِي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وما </w:t>
      </w:r>
      <w:hyperlink r:id="rId59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روي أن عثمان- رضي الله عنه- توضأ بالمقاعد فغسل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وجهه ثلاثًا ويديه ثلاثًا، ومسح برأسه مرة واحدة، وغسل رجليه ثلاثًا وقال: هكذا توضأ رسول الله-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وقيل: الثانية </w:t>
      </w:r>
      <w:hyperlink r:id="rId6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والثالثة إكمال </w:t>
      </w:r>
      <w:hyperlink r:id="rId6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السنة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P-01-01-05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تعريف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المستحب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والعلاقة بينه وبين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المندوب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DB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6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لغة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 هو الشيء المحبوب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b/>
          <w:bCs/>
          <w:color w:val="000000"/>
          <w:sz w:val="28"/>
          <w:szCs w:val="28"/>
          <w:rtl/>
        </w:rPr>
        <w:t>وشرعًا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هو ما فعله النبي- صلى الله عليه وسلم- مرة وتركه أخرى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والمندوب: ما فعله مرة أو مرتين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 [2] وقيل: هما سواء، وعليه الأصوليون، قال في «التحرير»: وما لم يواظب عليه مندوب </w:t>
      </w:r>
      <w:r>
        <w:rPr>
          <w:rFonts w:ascii="Almarai" w:eastAsia="Times New Roman" w:hAnsi="Almarai" w:cs="Almarai"/>
          <w:color w:val="00B0F0"/>
          <w:sz w:val="28"/>
          <w:szCs w:val="28"/>
          <w:rtl/>
        </w:rPr>
        <w:t>و</w:t>
      </w:r>
      <w:hyperlink r:id="rId63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وإن لم يفعله بعدما رغَّب فيه .</w:t>
      </w:r>
      <w:r>
        <w:rPr>
          <w:rFonts w:ascii="Calibri" w:eastAsia="Times New Roman" w:hAnsi="Calibri" w:cs="Calibri"/>
          <w:color w:val="000000"/>
          <w:sz w:val="28"/>
          <w:szCs w:val="28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</w:rPr>
        <w:t>ED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b/>
          <w:bCs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b/>
          <w:bCs/>
          <w:color w:val="0070C0"/>
          <w:sz w:val="32"/>
          <w:szCs w:val="32"/>
          <w:rtl/>
        </w:rPr>
        <w:t xml:space="preserve">مستحبات </w:t>
      </w:r>
      <w:r>
        <w:rPr>
          <w:rFonts w:ascii="Almarai" w:eastAsia="Times New Roman" w:hAnsi="Almarai" w:cs="Almarai"/>
          <w:b/>
          <w:bCs/>
          <w:color w:val="00B05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ويستحب في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: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[1]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النيةُ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                                                                     [2]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والترتيب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ليقع </w:t>
      </w:r>
      <w:hyperlink r:id="rId64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قربة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وليخرج عن </w:t>
      </w:r>
      <w:hyperlink r:id="rId6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عهدة الفرض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6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بالإجماع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G-I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قيل: إنهما سُنَّتان وهو </w:t>
      </w:r>
      <w:hyperlink r:id="rId67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الأصح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68" w:history="1">
        <w:r>
          <w:rPr>
            <w:rFonts w:ascii="Almarai" w:eastAsia="Times New Roman" w:hAnsi="Almarai" w:cs="Almarai"/>
            <w:color w:val="000000"/>
            <w:sz w:val="28"/>
            <w:szCs w:val="28"/>
            <w:u w:val="single"/>
            <w:rtl/>
          </w:rPr>
          <w:t>ل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 xml:space="preserve">مواظبته- صلى </w:t>
        </w:r>
        <w:r>
          <w:rPr>
            <w:rFonts w:ascii="Sakkal Majalla" w:eastAsia="Times New Roman" w:hAnsi="Sakkal Majalla" w:cs="Sakkal Majalla"/>
            <w:color w:val="00B0F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الله عليه وسلم- عليهما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[3]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الموالاة: وهو ألا يشتغل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بين أفعال الوضوء بغيرها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وليس ذلك </w:t>
      </w:r>
      <w:hyperlink r:id="rId69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بفرض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لقوله تعالى: </w:t>
      </w:r>
      <w:r>
        <w:rPr>
          <w:rFonts w:ascii="Tajawal" w:eastAsia="Times New Roman" w:hAnsi="Tajawal" w:cs="Tajawal"/>
          <w:color w:val="00B050"/>
          <w:sz w:val="28"/>
          <w:szCs w:val="28"/>
          <w:rtl/>
        </w:rPr>
        <w:t xml:space="preserve">{إِذَا قُمْتُمْ إِلَى الصَّلَاةِ فَاغْسِلُوا}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[المائدة: 6] الآية، من غير اشتراطها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ولأنه ذكر بحرف الواو، وإنها للجمع بإجماع أئمة النحو واللغة نقلًا عن </w:t>
      </w:r>
      <w:hyperlink r:id="rId70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السيرافي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و</w:t>
      </w:r>
      <w:hyperlink r:id="rId71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الزيادة على النص نسخ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ولا يجوز نسخ </w:t>
      </w:r>
      <w:hyperlink r:id="rId72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الكتاب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hyperlink r:id="rId73" w:history="1">
        <w:r>
          <w:rPr>
            <w:rFonts w:ascii="Sakkal Majalla" w:eastAsia="Times New Roman" w:hAnsi="Sakkal Majalla" w:cs="Sakkal Majalla"/>
            <w:color w:val="00B0F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بالخبر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لأنه راجح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SB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التيامن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ES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لقوله- عليه الصلاة والسلام-: «</w:t>
      </w:r>
      <w:hyperlink r:id="rId74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إِنَّ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اللهَ يُحِبُّ التَّيَامُنَ فِي كُلِّ شَيْءٍ حَتَّى التَّنَعُّل وَالتَّرَجُّل</w:t>
        </w:r>
      </w:hyperlink>
      <w:r>
        <w:rPr>
          <w:rFonts w:ascii="Almarai" w:eastAsia="Times New Roman" w:hAnsi="Almarai" w:cs="Almarai"/>
          <w:color w:val="0070C0"/>
          <w:sz w:val="28"/>
          <w:szCs w:val="28"/>
          <w:rtl/>
        </w:rPr>
        <w:t>»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 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حكم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 xml:space="preserve">مسح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>الرقبة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000000"/>
          <w:sz w:val="30"/>
          <w:szCs w:val="30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G-KM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مسح الرقبة </w:t>
      </w:r>
      <w:hyperlink r:id="rId75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مستحب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بظهر اليدين لعدم استعمال بلتهما، والحلقوم بدعة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وفي رواية الياميِّ أنه- صلى الله عليه وسلم- مسَحَ الرقبة مع مَسْحِ الرأس .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70C0"/>
          <w:sz w:val="28"/>
          <w:szCs w:val="28"/>
          <w:rtl/>
        </w:rPr>
        <w:lastRenderedPageBreak/>
        <w:t>وفي حديث وائل: وظاهر رقبته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[2] قيل: مسح الرقبة أيضًا بدعة .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>P-01-01-06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t>HB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32"/>
          <w:szCs w:val="32"/>
          <w:rtl/>
        </w:rPr>
        <w:t xml:space="preserve">آداب </w:t>
      </w:r>
      <w:r>
        <w:rPr>
          <w:rFonts w:ascii="Almarai" w:eastAsia="Times New Roman" w:hAnsi="Almarai" w:cs="Almarai"/>
          <w:color w:val="00B050"/>
          <w:sz w:val="32"/>
          <w:szCs w:val="32"/>
          <w:rtl/>
        </w:rPr>
        <w:t>الوضوء</w:t>
      </w:r>
      <w:r>
        <w:rPr>
          <w:rFonts w:ascii="Almarai" w:eastAsia="Times New Roman" w:hAnsi="Almarai" w:cs="Almarai"/>
          <w:color w:val="00000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الإسراف والتقتير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كلام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الناس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ترك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الاستعانة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وعن الوبري: لا بأس بصب الخادم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كان عليه الصلاة والسلام يُصَب الماء عليه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التمسح بخرقة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يمسح بها موضع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[5] استقاءُ مائِه بنفسه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المبادرة إلى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ستر العورة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بعد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نزع خاتم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عليه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اسمه تعالى أو اسم نبيه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- صلى الله عليه وسلم- حال الاستنجاء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[8] كون آنيته من خزف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[9] أن يغسل عروة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الإبريق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ثلاثًا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ووضعه على يساره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وإن كان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إناء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يغترف منه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فعن يمينه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[10] وضع يده حالة الغسل على عروته لا رأسه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[11] التأهب بالوضوء قبل الوقت .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[12] ذكر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الشهادتين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كل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عضو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استقبال القبلة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استصحاب النية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جميع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أفعاله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تعاهد المُوقين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وما تحت الخاتم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الذكر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الملفوظ عند كل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عضو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ألا يلطم وجهه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بالماء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[18]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إمرار اليد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على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الأعضاء المغسولة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[19]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التأني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،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والدَّلك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خصوصًا في الشتاء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[20]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تجاوز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حدود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الوجه واليدين والرجلين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ليستيقن غسلهما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يطيل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الغُرة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[22] قول: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سبحانك اللهم وبحمدك، أشهد أن لا إله إلا الله وأشهد أن محمدًا عبده ورسوله، اللهم اجعلني من التوابين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. . إلخ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[23]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يشرب فضل وضوئه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قائمًا مستقبلًا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، قيل: وإن شاء قاعدًا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صلاة ركعتين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عَقِيب 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ملء آنيته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استعدادًا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حفظ ثيابه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من المتقاطر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الامتخاط بالشمال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عند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0"/>
          <w:szCs w:val="30"/>
        </w:rPr>
        <w:lastRenderedPageBreak/>
        <w:t>HB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70C0"/>
          <w:sz w:val="32"/>
          <w:szCs w:val="32"/>
          <w:rtl/>
        </w:rPr>
        <w:t xml:space="preserve">من مكروهات </w:t>
      </w:r>
      <w:r>
        <w:rPr>
          <w:rFonts w:ascii="Almarai" w:eastAsia="Times New Roman" w:hAnsi="Almarai" w:cs="Almarai"/>
          <w:color w:val="00B050"/>
          <w:sz w:val="32"/>
          <w:szCs w:val="32"/>
          <w:rtl/>
        </w:rPr>
        <w:t>الوضوء</w:t>
      </w:r>
      <w:r>
        <w:rPr>
          <w:rFonts w:ascii="Calibri" w:eastAsia="Times New Roman" w:hAnsi="Calibri" w:cs="Calibri"/>
          <w:color w:val="00B05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0"/>
          <w:szCs w:val="30"/>
        </w:rPr>
        <w:t>EH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الامتخاط باليمن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عند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الاستنشاق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يكره أن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يستعين في وضوئه بغيره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إلا عند العجز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ليكون أعظمَ لثوابه وأخلصَ لعبادته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إلقاء البُزاق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الماء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>[4] يكره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الزيادة على ثلاث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في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غسل الأعضاء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 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[5] يكره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الوضوء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بالماء المُشَمَّس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404040"/>
          <w:sz w:val="32"/>
          <w:szCs w:val="32"/>
        </w:rPr>
        <w:t>TB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 xml:space="preserve"> حكم الصلاة </w:t>
      </w:r>
      <w:r>
        <w:rPr>
          <w:rFonts w:ascii="Almarai Bold" w:eastAsia="Times New Roman" w:hAnsi="Almarai Bold" w:cs="Almarai Bold"/>
          <w:color w:val="00B050"/>
          <w:sz w:val="32"/>
          <w:szCs w:val="32"/>
          <w:rtl/>
        </w:rPr>
        <w:t xml:space="preserve">بوضوء واحد </w:t>
      </w:r>
      <w:r>
        <w:rPr>
          <w:rFonts w:ascii="Almarai Bold" w:eastAsia="Times New Roman" w:hAnsi="Almarai Bold" w:cs="Almarai Bold"/>
          <w:color w:val="0070C0"/>
          <w:sz w:val="32"/>
          <w:szCs w:val="32"/>
          <w:rtl/>
        </w:rPr>
        <w:t>أكثر من فرض</w:t>
      </w:r>
      <w:r>
        <w:rPr>
          <w:rFonts w:ascii="Almarai Bold" w:eastAsia="Times New Roman" w:hAnsi="Almarai Bold" w:cs="Almarai Bold"/>
          <w:color w:val="000000"/>
          <w:sz w:val="32"/>
          <w:szCs w:val="32"/>
          <w:rtl/>
        </w:rPr>
        <w:t>:</w:t>
      </w:r>
      <w:r>
        <w:rPr>
          <w:rFonts w:ascii="Calibri" w:eastAsia="Times New Roman" w:hAnsi="Calibri" w:cs="Calibri"/>
          <w:color w:val="404040"/>
          <w:sz w:val="32"/>
          <w:szCs w:val="32"/>
          <w:rtl/>
        </w:rPr>
        <w:t xml:space="preserve"> </w:t>
      </w:r>
      <w:r>
        <w:rPr>
          <w:rFonts w:ascii="Calibri" w:eastAsia="Times New Roman" w:hAnsi="Calibri" w:cs="Calibri"/>
          <w:color w:val="404040"/>
          <w:sz w:val="32"/>
          <w:szCs w:val="32"/>
        </w:rPr>
        <w:t>ET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يصلي بوضوء واحدٍ ما شاء من </w:t>
      </w:r>
      <w:hyperlink r:id="rId76" w:history="1">
        <w:r>
          <w:rPr>
            <w:rFonts w:ascii="Almarai" w:eastAsia="Times New Roman" w:hAnsi="Almarai" w:cs="Almarai"/>
            <w:color w:val="00B0F0"/>
            <w:sz w:val="28"/>
            <w:szCs w:val="28"/>
            <w:u w:val="single"/>
            <w:rtl/>
          </w:rPr>
          <w:t>الفرائض</w:t>
        </w:r>
      </w:hyperlink>
      <w:r>
        <w:rPr>
          <w:rFonts w:ascii="Almarai" w:eastAsia="Times New Roman" w:hAnsi="Almarai" w:cs="Almarai"/>
          <w:color w:val="00B0F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والنوافل . </w:t>
      </w:r>
    </w:p>
    <w:p>
      <w:pPr>
        <w:bidi/>
        <w:spacing w:after="80" w:line="48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t>RB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</w:t>
      </w:r>
      <w:hyperlink r:id="rId77" w:history="1"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 xml:space="preserve">لأنه- صلى </w:t>
        </w:r>
        <w:r>
          <w:rPr>
            <w:rFonts w:ascii="Sakkal Majalla" w:eastAsia="Times New Roman" w:hAnsi="Sakkal Majalla" w:cs="Sakkal Majalla"/>
            <w:color w:val="0070C0"/>
            <w:sz w:val="28"/>
            <w:szCs w:val="28"/>
            <w:u w:val="single"/>
            <w:rtl/>
          </w:rPr>
          <w:t>‏</w:t>
        </w:r>
        <w:r>
          <w:rPr>
            <w:rFonts w:ascii="Almarai" w:eastAsia="Times New Roman" w:hAnsi="Almarai" w:cs="Almarai"/>
            <w:color w:val="0070C0"/>
            <w:sz w:val="28"/>
            <w:szCs w:val="28"/>
            <w:u w:val="single"/>
            <w:rtl/>
          </w:rPr>
          <w:t>الله عليه وسلم- صلى يوم الخندق أربع صلوات بوضوء واحد</w:t>
        </w:r>
      </w:hyperlink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Calibri" w:eastAsia="Times New Roman" w:hAnsi="Calibri" w:cs="Calibri"/>
          <w:color w:val="000000"/>
          <w:sz w:val="36"/>
          <w:szCs w:val="36"/>
          <w:rtl/>
        </w:rPr>
        <w:t xml:space="preserve"> </w:t>
      </w:r>
      <w:r>
        <w:rPr>
          <w:rFonts w:ascii="Calibri" w:eastAsia="Times New Roman" w:hAnsi="Calibri" w:cs="Calibri"/>
          <w:color w:val="000000"/>
          <w:sz w:val="36"/>
          <w:szCs w:val="36"/>
        </w:rPr>
        <w:t>ER</w:t>
      </w:r>
    </w:p>
    <w:p>
      <w:pPr>
        <w:bidi/>
        <w:spacing w:after="8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</w:rPr>
        <w:t>N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Calibri" w:eastAsia="Times New Roman" w:hAnsi="Calibri" w:cs="Calibri"/>
          <w:color w:val="000000"/>
          <w:sz w:val="28"/>
          <w:szCs w:val="28"/>
          <w:rtl/>
        </w:rPr>
        <w:t> </w:t>
      </w:r>
      <w:r>
        <w:rPr>
          <w:rFonts w:ascii="Calibri" w:eastAsia="Times New Roman" w:hAnsi="Calibri" w:cs="Calibri"/>
          <w:color w:val="000000"/>
          <w:sz w:val="28"/>
          <w:szCs w:val="28"/>
        </w:rPr>
        <w:t>ZB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[1]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الطهارة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النظافة عن النجاسة حقيقة كانت وهي الخبث أو حكمية وهي الحدث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[2]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الوضوء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: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الغسل والمسح في أعضاء مخصوصة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[3]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>فرائض الوضوء:</w:t>
      </w:r>
      <w:r>
        <w:rPr>
          <w:rFonts w:ascii="Sakkal Majalla" w:eastAsia="Times New Roman" w:hAnsi="Sakkal Majalla" w:cs="Sakkal Majalla"/>
          <w:color w:val="0070C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غسل الوجه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، غسل اليدين مع المرفقين، مسح ربع الرأس، غسل الرجلين مع الكعبين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[4]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سنن الوضوء: </w:t>
      </w:r>
      <w:r>
        <w:rPr>
          <w:rFonts w:ascii="Sakkal Majalla" w:eastAsia="Times New Roman" w:hAnsi="Sakkal Majalla" w:cs="Sakkal Majalla"/>
          <w:color w:val="00000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غسل اليدين إلى الرسغين ثلاثًا قبل إدخالهما في الإناء لمن استيقظ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من نومه،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 تسميةُ الله تعالى في ابتدائه، </w:t>
      </w:r>
      <w:r>
        <w:rPr>
          <w:rFonts w:ascii="Sakkal Majalla" w:eastAsia="Times New Roman" w:hAnsi="Sakkal Majalla" w:cs="Sakkal Majalla"/>
          <w:color w:val="00B050"/>
          <w:sz w:val="28"/>
          <w:szCs w:val="28"/>
          <w:rtl/>
        </w:rPr>
        <w:t>‏‏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السواك، المضمضة، الاستنشاق، مسحُ جميع الرأس والأذنين بماء واحد، تخليل اللحية والأصابع، تثليث الغسل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lastRenderedPageBreak/>
        <w:t xml:space="preserve">[5]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مستحبات الوضوء: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(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النية، الترتيب، التيامُن، مسح الرقبة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)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[6]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يكره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 xml:space="preserve">يستعين في وضوئه بغيره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>إلا عند العجز .</w:t>
      </w:r>
    </w:p>
    <w:p>
      <w:pPr>
        <w:bidi/>
        <w:spacing w:after="8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[7] </w:t>
      </w:r>
      <w:r>
        <w:rPr>
          <w:rFonts w:ascii="Almarai" w:eastAsia="Times New Roman" w:hAnsi="Almarai" w:cs="Almarai"/>
          <w:color w:val="0070C0"/>
          <w:sz w:val="28"/>
          <w:szCs w:val="28"/>
          <w:rtl/>
        </w:rPr>
        <w:t xml:space="preserve">يجوز 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أن </w:t>
      </w:r>
      <w:r>
        <w:rPr>
          <w:rFonts w:ascii="Almarai" w:eastAsia="Times New Roman" w:hAnsi="Almarai" w:cs="Almarai"/>
          <w:color w:val="00B050"/>
          <w:sz w:val="28"/>
          <w:szCs w:val="28"/>
          <w:rtl/>
        </w:rPr>
        <w:t>يصلي بوضوء واحد ما شاء من الفرائض والنوافل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t xml:space="preserve"> . </w:t>
      </w:r>
      <w:r>
        <w:rPr>
          <w:rFonts w:ascii="Almarai" w:eastAsia="Times New Roman" w:hAnsi="Almarai" w:cs="Almarai"/>
          <w:color w:val="000000"/>
          <w:sz w:val="28"/>
          <w:szCs w:val="28"/>
        </w:rPr>
        <w:t>EZ</w:t>
      </w:r>
      <w:r>
        <w:rPr>
          <w:rFonts w:ascii="Almarai" w:eastAsia="Times New Roman" w:hAnsi="Almarai" w:cs="Almarai"/>
          <w:color w:val="000000"/>
          <w:sz w:val="28"/>
          <w:szCs w:val="28"/>
          <w:rtl/>
        </w:rPr>
        <w:br/>
      </w:r>
    </w:p>
    <w:p/>
    <w:sectPr>
      <w:headerReference w:type="even" r:id="rId78"/>
      <w:headerReference w:type="default" r:id="rId79"/>
      <w:footerReference w:type="even" r:id="rId80"/>
      <w:footerReference w:type="default" r:id="rId81"/>
      <w:headerReference w:type="first" r:id="rId82"/>
      <w:footerReference w:type="first" r:id="rId8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arai Extra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Almarai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lmarai Bold">
    <w:panose1 w:val="00000000000000000000"/>
    <w:charset w:val="00"/>
    <w:family w:val="auto"/>
    <w:pitch w:val="variable"/>
    <w:sig w:usb0="8000202B" w:usb1="9000205A" w:usb2="00000008" w:usb3="00000000" w:csb0="00000041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84" Type="http://schemas.openxmlformats.org/officeDocument/2006/relationships/fontTable" Target="fontTable.xml"/><Relationship Id="rId7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6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9" Type="http://schemas.openxmlformats.org/officeDocument/2006/relationships/header" Target="header2.xml"/><Relationship Id="rId5" Type="http://schemas.openxmlformats.org/officeDocument/2006/relationships/endnotes" Target="endnotes.xml"/><Relationship Id="rId61" Type="http://schemas.openxmlformats.org/officeDocument/2006/relationships/hyperlink" Target="about:blank" TargetMode="External"/><Relationship Id="rId82" Type="http://schemas.openxmlformats.org/officeDocument/2006/relationships/header" Target="header3.xml"/><Relationship Id="rId19" Type="http://schemas.openxmlformats.org/officeDocument/2006/relationships/hyperlink" Target="about:blank" TargetMode="External"/><Relationship Id="rId4" Type="http://schemas.openxmlformats.org/officeDocument/2006/relationships/footnotes" Target="footnote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80" Type="http://schemas.openxmlformats.org/officeDocument/2006/relationships/footer" Target="footer1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83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8" Type="http://schemas.openxmlformats.org/officeDocument/2006/relationships/header" Target="header1.xml"/><Relationship Id="rId8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1797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2021-09-21T15:23:00Z</dcterms:created>
  <dcterms:modified xsi:type="dcterms:W3CDTF">2021-09-22T08:07:00Z</dcterms:modified>
</cp:coreProperties>
</file>