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bidi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323E4F"/>
          <w:sz w:val="36"/>
          <w:szCs w:val="36"/>
        </w:rPr>
        <w:t>LB</w:t>
      </w:r>
      <w:r>
        <w:rPr>
          <w:rFonts w:ascii="Almarai ExtraBold" w:eastAsia="Times New Roman" w:hAnsi="Almarai ExtraBold" w:cs="Almarai ExtraBold"/>
          <w:color w:val="000000"/>
          <w:sz w:val="44"/>
          <w:szCs w:val="44"/>
          <w:rtl/>
        </w:rPr>
        <w:t xml:space="preserve"> </w:t>
      </w:r>
      <w:r>
        <w:rPr>
          <w:rFonts w:ascii="Almarai ExtraBold" w:eastAsia="Times New Roman" w:hAnsi="Almarai ExtraBold" w:cs="Almarai ExtraBold"/>
          <w:color w:val="0070C0"/>
          <w:sz w:val="44"/>
          <w:szCs w:val="44"/>
          <w:rtl/>
        </w:rPr>
        <w:t xml:space="preserve">فرائض </w:t>
      </w:r>
      <w:r>
        <w:rPr>
          <w:rFonts w:ascii="Almarai ExtraBold" w:eastAsia="Times New Roman" w:hAnsi="Almarai ExtraBold" w:cs="Almarai ExtraBold"/>
          <w:color w:val="00B050"/>
          <w:sz w:val="44"/>
          <w:szCs w:val="44"/>
          <w:rtl/>
        </w:rPr>
        <w:t xml:space="preserve">الوضوء </w:t>
      </w:r>
      <w:r>
        <w:rPr>
          <w:rFonts w:ascii="Almarai ExtraBold" w:eastAsia="Times New Roman" w:hAnsi="Almarai ExtraBold" w:cs="Almarai ExtraBold"/>
          <w:color w:val="0070C0"/>
          <w:sz w:val="44"/>
          <w:szCs w:val="44"/>
          <w:rtl/>
        </w:rPr>
        <w:t>وسننه ومستحباته</w:t>
      </w:r>
      <w:r>
        <w:rPr>
          <w:rFonts w:ascii="Calibri" w:eastAsia="Times New Roman" w:hAnsi="Calibri" w:cs="Calibri"/>
          <w:color w:val="0070C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70C0"/>
          <w:sz w:val="36"/>
          <w:szCs w:val="36"/>
        </w:rPr>
        <w:t>EL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 w:hint="cs"/>
          <w:sz w:val="24"/>
          <w:szCs w:val="24"/>
          <w:rtl/>
          <w:lang w:bidi="ar-EG"/>
        </w:rPr>
      </w:pPr>
      <w:r>
        <w:rPr>
          <w:rFonts w:ascii="Calibri" w:eastAsia="Times New Roman" w:hAnsi="Calibri" w:cs="Calibri"/>
          <w:color w:val="323E4F"/>
          <w:sz w:val="36"/>
          <w:szCs w:val="36"/>
        </w:rPr>
        <w:t>MB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بسم الله الرحمن الرحيم، والصلاة والسلام على أشرف المرسلين سيدنا محمد النبيِّ الأمي الكريم، صلى الله عليه وعلى آله وصحبه أجمعين، ثم أما بعد: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/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70C0"/>
          <w:sz w:val="28"/>
          <w:szCs w:val="28"/>
          <w:rtl/>
        </w:rPr>
        <w:t>فنبدأ بعون الله تعالى في محاضرات مادة الفقه الحنفي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وستبدأ عزيزي الطالب في دراسة المحاضرة الأولى،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وستدرس في هذه المحاضرة: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تعريفَ الطهارة لغة وشرعًا، وفرائضَ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الوضوء، وسننه، ومستحباته، ومكروهاته، وحدود الأعضاء المغسولة،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والممسوحة .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proofErr w:type="gramEnd"/>
      <w:r>
        <w:rPr>
          <w:rFonts w:ascii="Calibri" w:eastAsia="Times New Roman" w:hAnsi="Calibri" w:cs="Calibri"/>
          <w:color w:val="323E4F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323E4F"/>
          <w:sz w:val="36"/>
          <w:szCs w:val="36"/>
        </w:rPr>
        <w:t>EM</w:t>
      </w:r>
      <w:r>
        <w:rPr>
          <w:rFonts w:ascii="Calibri" w:eastAsia="Times New Roman" w:hAnsi="Calibri" w:cs="Calibri"/>
          <w:color w:val="323E4F"/>
          <w:sz w:val="36"/>
          <w:szCs w:val="36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323E4F"/>
          <w:sz w:val="36"/>
          <w:szCs w:val="36"/>
        </w:rPr>
        <w:t>FB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يرجى لك عزيزي الطالب بعد دراستك لهذه المحاضرة أن: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/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تُعرِّف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الطهارة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شرعًا.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تبين سبب فرضية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الوضوء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[3] تعدد فرائض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الوضوء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[4] توضح حدود فرائض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الوضوء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[5] تعدد سنن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الوضوء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[6] تذكر مستحبات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الوضوء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 </w:t>
      </w:r>
      <w:r>
        <w:rPr>
          <w:rFonts w:ascii="Calibri" w:eastAsia="Times New Roman" w:hAnsi="Calibri" w:cs="Calibri"/>
          <w:color w:val="323E4F"/>
          <w:sz w:val="36"/>
          <w:szCs w:val="36"/>
        </w:rPr>
        <w:t>EF</w:t>
      </w:r>
    </w:p>
    <w:p>
      <w:pPr>
        <w:bidi/>
        <w:spacing w:after="8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</w:rPr>
        <w:t>N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0"/>
          <w:szCs w:val="30"/>
        </w:rPr>
        <w:t>HB</w:t>
      </w:r>
      <w:r>
        <w:rPr>
          <w:rFonts w:ascii="Almarai Bold" w:eastAsia="Times New Roman" w:hAnsi="Almarai Bold" w:cs="Almarai Bold"/>
          <w:color w:val="0070C0"/>
          <w:sz w:val="28"/>
          <w:szCs w:val="28"/>
          <w:rtl/>
        </w:rPr>
        <w:t xml:space="preserve"> تعريف </w:t>
      </w:r>
      <w:r>
        <w:rPr>
          <w:rFonts w:ascii="Almarai Bold" w:eastAsia="Times New Roman" w:hAnsi="Almarai Bold" w:cs="Almarai Bold"/>
          <w:color w:val="00B050"/>
          <w:sz w:val="28"/>
          <w:szCs w:val="28"/>
          <w:rtl/>
        </w:rPr>
        <w:t xml:space="preserve">الطهارة </w:t>
      </w:r>
      <w:r>
        <w:rPr>
          <w:rFonts w:ascii="Almarai Bold" w:eastAsia="Times New Roman" w:hAnsi="Almarai Bold" w:cs="Almarai Bold"/>
          <w:color w:val="0070C0"/>
          <w:sz w:val="28"/>
          <w:szCs w:val="28"/>
          <w:rtl/>
        </w:rPr>
        <w:t>لغة وشرعًا</w:t>
      </w:r>
      <w:r>
        <w:rPr>
          <w:rFonts w:ascii="Calibri" w:eastAsia="Times New Roman" w:hAnsi="Calibri" w:cs="Calibri"/>
          <w:color w:val="000000"/>
          <w:sz w:val="30"/>
          <w:szCs w:val="30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0"/>
          <w:szCs w:val="30"/>
        </w:rPr>
        <w:t>EH</w:t>
      </w:r>
      <w:r>
        <w:rPr>
          <w:rFonts w:ascii="Almarai Bold" w:eastAsia="Times New Roman" w:hAnsi="Almarai Bold" w:cs="Almarai Bold"/>
          <w:color w:val="0070C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DB</w:t>
      </w:r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t xml:space="preserve"> الطهارة لغة: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مطلق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النظافة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lastRenderedPageBreak/>
        <w:t> </w:t>
      </w:r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t>وشرعًا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: النظافة عن النجاسات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 [1] نجاسة حقيقية وهي الخبث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 [2] حكمية وهي </w:t>
      </w:r>
      <w:hyperlink r:id="rId6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الحَدَث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r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</w:rPr>
        <w:t>ED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40404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 أقسام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الطهارة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 من الحدث:</w:t>
      </w:r>
      <w:r>
        <w:rPr>
          <w:rFonts w:ascii="Calibri" w:eastAsia="Times New Roman" w:hAnsi="Calibri" w:cs="Calibri"/>
          <w:color w:val="404040"/>
          <w:sz w:val="32"/>
          <w:szCs w:val="32"/>
          <w:rtl/>
        </w:rPr>
        <w:t xml:space="preserve">  </w:t>
      </w:r>
      <w:r>
        <w:rPr>
          <w:rFonts w:ascii="Calibri" w:eastAsia="Times New Roman" w:hAnsi="Calibri" w:cs="Calibri"/>
          <w:color w:val="40404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تنقسم الطهارة من النجاسة بالاعتبار الثاني (الحكمية) إلى: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/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الكبرى؛ واسمها الخاص: الغُسل، والموجِب له: الحدثُ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الأكبر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[2] الصغرى؛ واسمها الخاص: الوضوء، والموجِب له: الحدث الأصغر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[3] التيمم؛ فإنه طهارة حكمية يَخلُفهما معًا، ويَخلُف كلًّا منهما منفردًا عن الآخر .</w:t>
      </w:r>
    </w:p>
    <w:p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P-01-01-01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40404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 </w:t>
      </w:r>
      <w:r>
        <w:rPr>
          <w:rFonts w:ascii="Almarai Bold" w:eastAsia="Times New Roman" w:hAnsi="Almarai Bold" w:cs="Almarai Bold"/>
          <w:color w:val="404040"/>
          <w:sz w:val="32"/>
          <w:szCs w:val="32"/>
          <w:rtl/>
        </w:rPr>
        <w:t xml:space="preserve">وجه تقديم الكلام على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الوضوء</w:t>
      </w:r>
      <w:r>
        <w:rPr>
          <w:rFonts w:ascii="Almarai Bold" w:eastAsia="Times New Roman" w:hAnsi="Almarai Bold" w:cs="Almarai Bold"/>
          <w:color w:val="404040"/>
          <w:sz w:val="32"/>
          <w:szCs w:val="32"/>
          <w:rtl/>
        </w:rPr>
        <w:t>:</w:t>
      </w:r>
      <w:r>
        <w:rPr>
          <w:rFonts w:ascii="Calibri" w:eastAsia="Times New Roman" w:hAnsi="Calibri" w:cs="Calibri"/>
          <w:color w:val="40404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40404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قُدمت العبادات على غيرها اهتمامًا بها؛ لأن الجن والإنس لم تخلق إلا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لها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قدمت الصلاة من بينها لأنها عِمادها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قُدمت الطهارة عليها لأنها مفتاحها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قُدمت طهارة الوضوء لكثرة تكرارها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0"/>
          <w:szCs w:val="30"/>
        </w:rPr>
        <w:t>HB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Almarai Bold" w:eastAsia="Times New Roman" w:hAnsi="Almarai Bold" w:cs="Almarai Bold"/>
          <w:color w:val="00B050"/>
          <w:sz w:val="32"/>
          <w:szCs w:val="32"/>
          <w:rtl/>
        </w:rPr>
        <w:t xml:space="preserve">الوضوء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لغة وشرعًا</w:t>
      </w:r>
      <w:r>
        <w:rPr>
          <w:rFonts w:ascii="Calibri" w:eastAsia="Times New Roman" w:hAnsi="Calibri" w:cs="Calibri"/>
          <w:color w:val="0070C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0"/>
          <w:szCs w:val="30"/>
        </w:rPr>
        <w:t>EH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DB</w:t>
      </w:r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t xml:space="preserve"> الوضوء في اللغة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: من الوَضاءة؛ وهو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الحسن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t>وفي الشرع: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الغَسل والمسح في أعضاء مخصوصة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lastRenderedPageBreak/>
        <w:t>وفي المعنى الشرعي المعنى اللغوي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، لأنه يحسن به الأعضاء التي يقع فيها الغَسل والمسح؛ فالغَسل: هو الإسالة، والمسح: الإصابة .</w:t>
      </w:r>
      <w:r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</w:rPr>
        <w:t>ED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40404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 سبب فرضية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الوضوء</w:t>
      </w:r>
      <w:r>
        <w:rPr>
          <w:rFonts w:ascii="Calibri" w:eastAsia="Times New Roman" w:hAnsi="Calibri" w:cs="Calibri"/>
          <w:color w:val="0070C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40404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وسبب فرضية الوضوء: إرادة الصلاة مع وجود </w:t>
      </w:r>
      <w:hyperlink r:id="rId7" w:history="1">
        <w:r>
          <w:rPr>
            <w:rFonts w:ascii="Sakkal Majalla" w:eastAsia="Times New Roman" w:hAnsi="Sakkal Majalla" w:cs="Sakkal Majalla"/>
            <w:color w:val="00000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الحَدَث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لقوله تعالى: </w:t>
      </w:r>
      <w:r>
        <w:rPr>
          <w:rFonts w:ascii="Tajawal" w:eastAsia="Times New Roman" w:hAnsi="Tajawal" w:cs="Tajawal"/>
          <w:color w:val="00B050"/>
          <w:sz w:val="28"/>
          <w:szCs w:val="28"/>
          <w:rtl/>
        </w:rPr>
        <w:t>{إِذَا قُمْتُمْ إِلَى الصَّلَاةِ فَاغْسِلُوا}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[المائدة: 6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] .</w:t>
      </w:r>
      <w:proofErr w:type="gramEnd"/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G-O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قال </w:t>
      </w:r>
      <w:hyperlink r:id="rId8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ابن عباس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: معناه إذا أردتم القيام إلى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الصلاة وأنتم محدثون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</w:rPr>
        <w:t>N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40404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تعريف </w:t>
      </w:r>
      <w:r>
        <w:rPr>
          <w:rFonts w:ascii="Almarai Bold" w:eastAsia="Times New Roman" w:hAnsi="Almarai Bold" w:cs="Almarai Bold"/>
          <w:color w:val="00B050"/>
          <w:sz w:val="32"/>
          <w:szCs w:val="32"/>
          <w:rtl/>
        </w:rPr>
        <w:t xml:space="preserve">الفرض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وإطلاقاته</w:t>
      </w:r>
      <w:r>
        <w:rPr>
          <w:rFonts w:ascii="Calibri" w:eastAsia="Times New Roman" w:hAnsi="Calibri" w:cs="Calibri"/>
          <w:color w:val="0070C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40404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DB</w:t>
      </w:r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t xml:space="preserve"> </w:t>
      </w:r>
      <w:hyperlink r:id="rId9" w:history="1">
        <w:r>
          <w:rPr>
            <w:rFonts w:ascii="Almarai" w:eastAsia="Times New Roman" w:hAnsi="Almarai" w:cs="Almarai"/>
            <w:b/>
            <w:bCs/>
            <w:color w:val="00B0F0"/>
            <w:sz w:val="28"/>
            <w:szCs w:val="28"/>
            <w:u w:val="single"/>
            <w:rtl/>
          </w:rPr>
          <w:t>الفرض</w:t>
        </w:r>
      </w:hyperlink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t xml:space="preserve"> لغة: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التقدير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t>شرعًا: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ما ثبت لزومه بدليل قطعي لا شبهة فيه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G-TH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أصل الغَسل والمسح في أعضاء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الوضوء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وهو الفرض علمًا وعملًا، ويسمى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الفرض القطعي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G-I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كثيرًا ما يطلق الفرض على ما يفوت الجواز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بفوته .</w:t>
      </w:r>
      <w:proofErr w:type="gramEnd"/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G-TH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غسلِ ومسحِ مقدارٍ معين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فيها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وهو الفرض عملًا لا علمًا، ويسمى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الفرض الاجتهادي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r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</w:rPr>
        <w:t>ED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P-01-01-02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30"/>
          <w:szCs w:val="30"/>
        </w:rPr>
        <w:t>HB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 فرائض </w:t>
      </w:r>
      <w:r>
        <w:rPr>
          <w:rFonts w:ascii="Almarai Bold" w:eastAsia="Times New Roman" w:hAnsi="Almarai Bold" w:cs="Almarai Bold"/>
          <w:color w:val="00B050"/>
          <w:sz w:val="32"/>
          <w:szCs w:val="32"/>
          <w:rtl/>
        </w:rPr>
        <w:t xml:space="preserve">الوضوء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وحدودها</w:t>
      </w:r>
      <w:r>
        <w:rPr>
          <w:rFonts w:ascii="Calibri" w:eastAsia="Times New Roman" w:hAnsi="Calibri" w:cs="Calibri"/>
          <w:color w:val="000000"/>
          <w:sz w:val="30"/>
          <w:szCs w:val="30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0"/>
          <w:szCs w:val="30"/>
        </w:rPr>
        <w:t>EH</w:t>
      </w:r>
      <w:r>
        <w:rPr>
          <w:rFonts w:ascii="Sakkal Majalla" w:eastAsia="Times New Roman" w:hAnsi="Sakkal Majalla" w:cs="Sakkal Majalla"/>
          <w:color w:val="0070C0"/>
          <w:sz w:val="32"/>
          <w:szCs w:val="32"/>
          <w:rtl/>
        </w:rPr>
        <w:t xml:space="preserve"> ‏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SB</w:t>
      </w:r>
      <w:r>
        <w:rPr>
          <w:rFonts w:ascii="Almarai Bold" w:eastAsia="Times New Roman" w:hAnsi="Almarai Bold" w:cs="Almarai Bold"/>
          <w:color w:val="0070C0"/>
          <w:sz w:val="28"/>
          <w:szCs w:val="28"/>
          <w:rtl/>
        </w:rPr>
        <w:t xml:space="preserve"> وفرضه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غسل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الوجه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غسل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اليدين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مع </w:t>
      </w:r>
      <w:hyperlink r:id="rId10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المرفقين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[3]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مسح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ربع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الرأس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 [4]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غسل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الرجلين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مع </w:t>
      </w:r>
      <w:hyperlink r:id="rId11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الكعبين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قوله تعالى: </w:t>
      </w:r>
      <w:r>
        <w:rPr>
          <w:rFonts w:ascii="Tajawal" w:eastAsia="Times New Roman" w:hAnsi="Tajawal" w:cs="Tajawal"/>
          <w:color w:val="00B050"/>
          <w:sz w:val="28"/>
          <w:szCs w:val="28"/>
          <w:rtl/>
        </w:rPr>
        <w:t>{يَاأَيُّهَا الَّذِينَ آمَنُوا إِذَا قُمْتُمْ إِلَى الصَّلَاةِ فَاغْسِلُوا وُجُوهَكُمْ وَأَيْدِيَكُمْ إِلَى الْمَرَافِقِ وَامْسَحُوا بِرُءُوسِكُمْ وَأَرْجُلَكُمْ إِلَى الْكَعْبَيْنِ}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[المائدة: 6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] .</w:t>
      </w:r>
      <w:proofErr w:type="gramEnd"/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404040"/>
          <w:sz w:val="32"/>
          <w:szCs w:val="32"/>
        </w:rPr>
        <w:t>TB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تعريف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الوجه 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>وحدوده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:</w:t>
      </w:r>
      <w:r>
        <w:rPr>
          <w:rFonts w:ascii="Calibri" w:eastAsia="Times New Roman" w:hAnsi="Calibri" w:cs="Calibri"/>
          <w:color w:val="40404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40404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</w:rPr>
        <w:t>DB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الوجه: ما يواجَه به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وهو من </w:t>
      </w:r>
      <w:hyperlink r:id="rId12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قُصاص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الشَّعَر إلى أسفل </w:t>
      </w:r>
      <w:hyperlink r:id="rId13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الذقن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طولًا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وما بين </w:t>
      </w:r>
      <w:hyperlink r:id="rId14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شحمتي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الأذنين عرضًا .</w:t>
      </w:r>
      <w:r>
        <w:rPr>
          <w:rFonts w:ascii="Calibri" w:eastAsia="Times New Roman" w:hAnsi="Calibri" w:cs="Calibri"/>
          <w:color w:val="00000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وسقط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غسل باطن العينين؛ لما فيه من المشقة وخوف الضرر بهما، وبه تسقط الطهارة .</w:t>
      </w:r>
      <w:r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</w:rPr>
        <w:t>ED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lastRenderedPageBreak/>
        <w:t>TB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 غسل ما بين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العذار 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>و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الأذن</w:t>
      </w:r>
      <w:r>
        <w:rPr>
          <w:rFonts w:ascii="Almarai Bold" w:eastAsia="Times New Roman" w:hAnsi="Almarai Bold" w:cs="Almarai Bold"/>
          <w:color w:val="404040"/>
          <w:sz w:val="32"/>
          <w:szCs w:val="32"/>
          <w:rtl/>
        </w:rPr>
        <w:t>:</w:t>
      </w:r>
      <w:r>
        <w:rPr>
          <w:rFonts w:ascii="Calibri" w:eastAsia="Times New Roman" w:hAnsi="Calibri" w:cs="Calibri"/>
          <w:color w:val="40404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G-KM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ذهب أبو حنيفة ومحمد إلى أنه يجب غسل ما بين </w:t>
      </w:r>
      <w:hyperlink r:id="rId15" w:history="1">
        <w:r>
          <w:rPr>
            <w:rFonts w:ascii="Almarai" w:eastAsia="Times New Roman" w:hAnsi="Almarai" w:cs="Almarai"/>
            <w:color w:val="000000"/>
            <w:sz w:val="28"/>
            <w:szCs w:val="28"/>
            <w:rtl/>
          </w:rPr>
          <w:t>العِذَار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والأذن؛ لأنه من الوَجْهِ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 [2] خالف أبو يوسف في غسل ما بين العذار والأذن بعد نبات اللحية؛ لسقوط غسل ما تحت </w:t>
      </w:r>
      <w:hyperlink r:id="rId16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العِذَار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>، وهو أقرب منه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G-C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  </w:t>
      </w:r>
      <w:hyperlink r:id="rId17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قلنا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: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سقط ذلك للحائل، ولا حائل هنا 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>
      <w:pPr>
        <w:bidi/>
        <w:spacing w:after="8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P-01-01-03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 الخلاف في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المرفقين 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>و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الكعبين</w:t>
      </w:r>
      <w:r>
        <w:rPr>
          <w:rFonts w:ascii="Almarai" w:eastAsia="Times New Roman" w:hAnsi="Almarai" w:cs="Almarai"/>
          <w:color w:val="000000"/>
          <w:sz w:val="32"/>
          <w:szCs w:val="32"/>
          <w:rtl/>
        </w:rPr>
        <w:t>:</w:t>
      </w:r>
      <w:r>
        <w:rPr>
          <w:rFonts w:ascii="Calibri" w:eastAsia="Times New Roman" w:hAnsi="Calibri" w:cs="Calibri"/>
          <w:color w:val="00000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G-KM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قال </w:t>
      </w:r>
      <w:hyperlink r:id="rId18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زفر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>: لا يدخل المرفقان والكعبان في الغَسل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G-R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لأن «إلى»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للغاية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[2] قال الإمام أبو حنيفة والصاحبان: لا يدخلان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G-C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تستعمل «إلى» بمعنى «مع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» .</w:t>
      </w:r>
      <w:proofErr w:type="gramEnd"/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G-</w:t>
      </w:r>
      <w:proofErr w:type="gramStart"/>
      <w:r>
        <w:rPr>
          <w:rFonts w:ascii="Calibri" w:eastAsia="Times New Roman" w:hAnsi="Calibri" w:cs="Calibri"/>
          <w:color w:val="000000"/>
          <w:sz w:val="32"/>
          <w:szCs w:val="32"/>
        </w:rPr>
        <w:t>TH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  قال</w:t>
      </w:r>
      <w:proofErr w:type="gramEnd"/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الله تعالى: </w:t>
      </w:r>
      <w:r>
        <w:rPr>
          <w:rFonts w:ascii="Tajawal" w:eastAsia="Times New Roman" w:hAnsi="Tajawal" w:cs="Tajawal"/>
          <w:color w:val="00B050"/>
          <w:sz w:val="28"/>
          <w:szCs w:val="28"/>
          <w:rtl/>
        </w:rPr>
        <w:t xml:space="preserve">{وَلَا تَأْكُلُوا أَمْوَالَهُمْ إِلَى أَمْوَالِكُمْ}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[النساء: 2]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فتكون الآية </w:t>
      </w:r>
      <w:hyperlink r:id="rId19" w:history="1">
        <w:r>
          <w:rPr>
            <w:rFonts w:ascii="Almarai" w:eastAsia="Times New Roman" w:hAnsi="Almarai" w:cs="Almarai"/>
            <w:color w:val="000000"/>
            <w:sz w:val="28"/>
            <w:szCs w:val="28"/>
            <w:rtl/>
          </w:rPr>
          <w:t>مجملةً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وقد وردت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hyperlink r:id="rId20" w:history="1">
        <w:r>
          <w:rPr>
            <w:rFonts w:ascii="Almarai" w:eastAsia="Times New Roman" w:hAnsi="Almarai" w:cs="Almarai"/>
            <w:color w:val="000000"/>
            <w:sz w:val="28"/>
            <w:szCs w:val="28"/>
            <w:rtl/>
          </w:rPr>
          <w:t>السنة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hyperlink r:id="rId21" w:history="1">
        <w:r>
          <w:rPr>
            <w:rFonts w:ascii="Almarai" w:eastAsia="Times New Roman" w:hAnsi="Almarai" w:cs="Almarai"/>
            <w:color w:val="000000"/>
            <w:sz w:val="28"/>
            <w:szCs w:val="28"/>
            <w:rtl/>
          </w:rPr>
          <w:t>مفسرة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لها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lastRenderedPageBreak/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hyperlink r:id="rId22" w:history="1">
        <w:r>
          <w:rPr>
            <w:rFonts w:ascii="Almarai" w:eastAsia="Times New Roman" w:hAnsi="Almarai" w:cs="Almarai"/>
            <w:color w:val="00B0F0"/>
            <w:sz w:val="28"/>
            <w:szCs w:val="28"/>
            <w:rtl/>
          </w:rPr>
          <w:t> </w:t>
        </w:r>
        <w:r>
          <w:rPr>
            <w:rFonts w:ascii="Almarai" w:eastAsia="Times New Roman" w:hAnsi="Almarai" w:cs="Almarai"/>
            <w:color w:val="0070C0"/>
            <w:sz w:val="28"/>
            <w:szCs w:val="28"/>
            <w:rtl/>
          </w:rPr>
          <w:t>فقد صح أنه- صلى الله عليه وسلم- أدار الماء على مرافقه، ورأى رجلًا توضأ ولم يُوصِل الماء إلى كعبيه فقال: «ويل للأعقاب من النار» وأمره بغسلهما .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TB</w:t>
      </w:r>
      <w:r>
        <w:rPr>
          <w:rFonts w:ascii="Almarai" w:eastAsia="Times New Roman" w:hAnsi="Almarai" w:cs="Almarai"/>
          <w:color w:val="000000"/>
          <w:sz w:val="32"/>
          <w:szCs w:val="32"/>
          <w:rtl/>
        </w:rPr>
        <w:t xml:space="preserve"> 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حكم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مسح الرأس</w:t>
      </w:r>
      <w:r>
        <w:rPr>
          <w:rFonts w:ascii="Almarai" w:eastAsia="Times New Roman" w:hAnsi="Almarai" w:cs="Almarai"/>
          <w:color w:val="000000"/>
          <w:sz w:val="32"/>
          <w:szCs w:val="32"/>
          <w:rtl/>
        </w:rPr>
        <w:t>:</w:t>
      </w:r>
      <w:r>
        <w:rPr>
          <w:rFonts w:ascii="Calibri" w:eastAsia="Times New Roman" w:hAnsi="Calibri" w:cs="Calibri"/>
          <w:color w:val="000000"/>
          <w:sz w:val="32"/>
          <w:szCs w:val="32"/>
          <w:rtl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sz w:val="32"/>
          <w:szCs w:val="32"/>
        </w:rPr>
        <w:t>ET</w:t>
      </w:r>
      <w:r>
        <w:rPr>
          <w:rFonts w:ascii="Calibri" w:eastAsia="Times New Roman" w:hAnsi="Calibri" w:cs="Calibri"/>
          <w:color w:val="000000"/>
          <w:sz w:val="32"/>
          <w:szCs w:val="32"/>
          <w:rtl/>
        </w:rPr>
        <w:t xml:space="preserve">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الآية </w:t>
      </w:r>
      <w:hyperlink r:id="rId23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مجملةٌ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في مسح الرأس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G-KL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تحتمل إرادة الجميع كما قال </w:t>
      </w:r>
      <w:hyperlink r:id="rId24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مالك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تحتمل إرادة ما تناوله اسم المسح كما قاله </w:t>
      </w:r>
      <w:hyperlink r:id="rId25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الشافعي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[3] تحتمل إرادة بعضه كما ذهب إليه </w:t>
      </w:r>
      <w:hyperlink r:id="rId26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أصحابنا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  </w:t>
      </w:r>
      <w:hyperlink r:id="rId27" w:history="1">
        <w:r>
          <w:rPr>
            <w:rFonts w:ascii="Almarai" w:eastAsia="Times New Roman" w:hAnsi="Almarai" w:cs="Almarai"/>
            <w:color w:val="000000"/>
            <w:sz w:val="28"/>
            <w:szCs w:val="28"/>
            <w:rtl/>
          </w:rPr>
          <w:t xml:space="preserve">وقد </w:t>
        </w:r>
        <w:r>
          <w:rPr>
            <w:rFonts w:ascii="Almarai" w:eastAsia="Times New Roman" w:hAnsi="Almarai" w:cs="Almarai"/>
            <w:color w:val="0070C0"/>
            <w:sz w:val="28"/>
            <w:szCs w:val="28"/>
            <w:rtl/>
          </w:rPr>
          <w:t>صح أن النبي -صلى الله عليه وسلم- توضأ فمسح بناصيته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u w:val="single"/>
          <w:rtl/>
        </w:rPr>
        <w:t>؛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وذلك لما روى المغيرة بن شعبة- رضي الله تعالى عنه- أن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النبي- صلى الله عليه و سلم- أتى سُباطةَ- بالضم : أي كناسة- قومٍ فبال وتوضأ ومسح على ناصيته وخُفَّيه )،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فكان بيانًا للآية وحجة عليهما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404040"/>
          <w:sz w:val="32"/>
          <w:szCs w:val="32"/>
          <w:rtl/>
        </w:rPr>
        <w:t xml:space="preserve">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مقدار </w:t>
      </w:r>
      <w:r>
        <w:rPr>
          <w:rFonts w:ascii="Almarai Bold" w:eastAsia="Times New Roman" w:hAnsi="Almarai Bold" w:cs="Almarai Bold"/>
          <w:color w:val="404040"/>
          <w:sz w:val="32"/>
          <w:szCs w:val="32"/>
          <w:rtl/>
        </w:rPr>
        <w:t xml:space="preserve">مسح </w:t>
      </w:r>
      <w:r>
        <w:rPr>
          <w:rFonts w:ascii="Almarai Bold" w:eastAsia="Times New Roman" w:hAnsi="Almarai Bold" w:cs="Almarai Bold"/>
          <w:color w:val="00B050"/>
          <w:sz w:val="32"/>
          <w:szCs w:val="32"/>
          <w:rtl/>
        </w:rPr>
        <w:t xml:space="preserve">الناصية </w:t>
      </w:r>
      <w:r>
        <w:rPr>
          <w:rFonts w:ascii="Almarai Bold" w:eastAsia="Times New Roman" w:hAnsi="Almarai Bold" w:cs="Almarai Bold"/>
          <w:color w:val="404040"/>
          <w:sz w:val="32"/>
          <w:szCs w:val="32"/>
          <w:rtl/>
        </w:rPr>
        <w:t>و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عدد مرات المسح</w:t>
      </w:r>
      <w:r>
        <w:rPr>
          <w:rFonts w:ascii="Almarai Bold" w:eastAsia="Times New Roman" w:hAnsi="Almarai Bold" w:cs="Almarai Bold"/>
          <w:color w:val="404040"/>
          <w:sz w:val="32"/>
          <w:szCs w:val="32"/>
          <w:rtl/>
        </w:rPr>
        <w:t xml:space="preserve">: </w:t>
      </w:r>
      <w:r>
        <w:rPr>
          <w:rFonts w:ascii="Calibri" w:eastAsia="Times New Roman" w:hAnsi="Calibri" w:cs="Calibri"/>
          <w:color w:val="00000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hyperlink r:id="rId28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المختار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في مقدار </w:t>
      </w:r>
      <w:hyperlink r:id="rId29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الناصية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ما ذُكر في «الكتاب» وهو الربع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ولا يزيد على مرة واحدة؛ لأن بالتكرار يصير غسلًا، والمأمور به المسح 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>
      <w:pPr>
        <w:bidi/>
        <w:spacing w:after="8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P-01-01-04</w:t>
      </w:r>
    </w:p>
    <w:p>
      <w:pPr>
        <w:bidi/>
        <w:spacing w:after="8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N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 تعريف </w:t>
      </w:r>
      <w:r>
        <w:rPr>
          <w:rFonts w:ascii="Almarai Bold" w:eastAsia="Times New Roman" w:hAnsi="Almarai Bold" w:cs="Almarai Bold"/>
          <w:color w:val="00B050"/>
          <w:sz w:val="32"/>
          <w:szCs w:val="32"/>
          <w:rtl/>
        </w:rPr>
        <w:t>السنة:</w:t>
      </w:r>
      <w:r>
        <w:rPr>
          <w:rFonts w:ascii="Calibri" w:eastAsia="Times New Roman" w:hAnsi="Calibri" w:cs="Calibri"/>
          <w:color w:val="00000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hyperlink r:id="rId30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السنن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: جمع </w:t>
      </w:r>
      <w:hyperlink r:id="rId31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سنة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؛ وهي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لغة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: الطريقة مَرضية كانت أو غير مَرضية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وفي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الشريعة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: ما واظب عليه النبي- صلى الله عليه وسلم- مع الترك أحيانًا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0"/>
          <w:szCs w:val="30"/>
        </w:rPr>
        <w:t>HB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سنن </w:t>
      </w:r>
      <w:r>
        <w:rPr>
          <w:rFonts w:ascii="Almarai Bold" w:eastAsia="Times New Roman" w:hAnsi="Almarai Bold" w:cs="Almarai Bold"/>
          <w:color w:val="00B050"/>
          <w:sz w:val="32"/>
          <w:szCs w:val="32"/>
          <w:rtl/>
        </w:rPr>
        <w:t>الوضوء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0"/>
          <w:szCs w:val="30"/>
        </w:rPr>
        <w:t>EH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SB</w:t>
      </w:r>
      <w:r>
        <w:rPr>
          <w:rFonts w:ascii="Almarai Bold" w:eastAsia="Times New Roman" w:hAnsi="Almarai Bold" w:cs="Almarai Bold"/>
          <w:color w:val="00B050"/>
          <w:sz w:val="28"/>
          <w:szCs w:val="28"/>
          <w:rtl/>
        </w:rPr>
        <w:t xml:space="preserve"> وسنن الوضوء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غسل اليدين إلى </w:t>
      </w:r>
      <w:hyperlink r:id="rId32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الرسغين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ثلاثًا قبل إدخالهما في الإناء لمن استيقظ من نومه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hyperlink r:id="rId33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لحديث المستيقظ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وهو "إذا استيقظ أحدُكم من نومه فلا يغمِس يده في إنائه حتى يغسلها ثلاثاً، فإنه لا يدري أين باتت يَدُهُ"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40404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404040"/>
          <w:sz w:val="32"/>
          <w:szCs w:val="32"/>
          <w:rtl/>
        </w:rPr>
        <w:t xml:space="preserve"> كيفية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الغسل </w:t>
      </w:r>
      <w:r>
        <w:rPr>
          <w:rFonts w:ascii="Almarai Bold" w:eastAsia="Times New Roman" w:hAnsi="Almarai Bold" w:cs="Almarai Bold"/>
          <w:color w:val="404040"/>
          <w:sz w:val="32"/>
          <w:szCs w:val="32"/>
          <w:rtl/>
        </w:rPr>
        <w:t>من الإناء:</w:t>
      </w:r>
      <w:r>
        <w:rPr>
          <w:rFonts w:ascii="Calibri" w:eastAsia="Times New Roman" w:hAnsi="Calibri" w:cs="Calibri"/>
          <w:color w:val="40404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40404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 قيل: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إن كان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الإناء صغيرًا يرفعه بيده اليسرى ويصب على اليمنى، ثم باليمنى فيصب على اليسرى، لتقع </w:t>
      </w:r>
      <w:hyperlink r:id="rId34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البداءة باليمنى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كما هو </w:t>
      </w:r>
      <w:hyperlink r:id="rId35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السنة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وإن كان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الإناء كبيرًا يدخل أصابع يده اليسرى مضمومةً دون الكف، ويأخذ الماء فيغسل يديه لوقوع الكفاية بذلك، ولا يكتفي بدون ذلك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في العادة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lastRenderedPageBreak/>
        <w:t>SB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[2]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تسمية الله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تعالى في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ابتدائه .</w:t>
      </w:r>
      <w:proofErr w:type="gramEnd"/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لمواظبته- صلى الله عليه وسلم-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عليها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 وقال- عليه الصلاة والسلام-: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«</w:t>
      </w:r>
      <w:hyperlink r:id="rId36" w:history="1"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 xml:space="preserve">مَنْ تَوَضَّأَ وَذَكَرَ </w:t>
        </w:r>
        <w:r>
          <w:rPr>
            <w:rFonts w:ascii="Sakkal Majalla" w:eastAsia="Times New Roman" w:hAnsi="Sakkal Majalla" w:cs="Sakkal Majalla"/>
            <w:color w:val="0070C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>اسْمَ الله تَعَالَى كَانَ طَهُورًا لِجَمِيعِ بَدَنِهِ، وَمَنْ تَوَضَّأَ وَلَمْ يَذْكُرِ اسْمَ الله عَلَيْهِ كَانَ طَهُورًا لِمَا أَصَابَ الْـمَاءَ</w:t>
        </w:r>
      </w:hyperlink>
      <w:r>
        <w:rPr>
          <w:rFonts w:ascii="Almarai" w:eastAsia="Times New Roman" w:hAnsi="Almarai" w:cs="Almarai"/>
          <w:color w:val="0070C0"/>
          <w:sz w:val="28"/>
          <w:szCs w:val="28"/>
          <w:rtl/>
        </w:rPr>
        <w:t>» .</w:t>
      </w:r>
      <w:r>
        <w:rPr>
          <w:rFonts w:ascii="Calibri" w:eastAsia="Times New Roman" w:hAnsi="Calibri" w:cs="Calibri"/>
          <w:color w:val="0070C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SB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[3] </w:t>
      </w:r>
      <w:proofErr w:type="gramStart"/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السِّواك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proofErr w:type="gramEnd"/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لأنه- صلى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الله عليه وسلم- واظب عليه وقال: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«</w:t>
      </w:r>
      <w:hyperlink r:id="rId37" w:history="1"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>أَوْصَانِي خَلِيلِي جِبْرِيلُ بِالسِّوَاكِ</w:t>
        </w:r>
      </w:hyperlink>
      <w:r>
        <w:rPr>
          <w:rFonts w:ascii="Almarai" w:eastAsia="Times New Roman" w:hAnsi="Almarai" w:cs="Almarai"/>
          <w:color w:val="0070C0"/>
          <w:sz w:val="28"/>
          <w:szCs w:val="28"/>
          <w:rtl/>
        </w:rPr>
        <w:t>» 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G-I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قالوا: </w:t>
      </w:r>
      <w:r>
        <w:rPr>
          <w:rFonts w:ascii="Almarai" w:eastAsia="Times New Roman" w:hAnsi="Almarai" w:cs="Almarai"/>
          <w:color w:val="00B0F0"/>
          <w:sz w:val="28"/>
          <w:szCs w:val="28"/>
          <w:rtl/>
        </w:rPr>
        <w:t>و</w:t>
      </w:r>
      <w:hyperlink r:id="rId38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الأصح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أنه </w:t>
      </w:r>
      <w:hyperlink r:id="rId39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مستحب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SB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[4]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المضمضة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[5]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والاستنشاق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ثلاثًا ثلاثًا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يأخذ لكل مرة ماءً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جديدًا .</w:t>
      </w:r>
      <w:proofErr w:type="gramEnd"/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hyperlink r:id="rId40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 xml:space="preserve">لمواظبته- صلى </w:t>
        </w:r>
        <w:r>
          <w:rPr>
            <w:rFonts w:ascii="Sakkal Majalla" w:eastAsia="Times New Roman" w:hAnsi="Sakkal Majalla" w:cs="Sakkal Majalla"/>
            <w:color w:val="00000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الله عليه وسلم- على ذلك كذلك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SB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[6]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مسح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جميع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الرأس والأذنين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بماء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واحد .</w:t>
      </w:r>
      <w:proofErr w:type="gramEnd"/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  </w:t>
      </w:r>
      <w:hyperlink r:id="rId41" w:history="1"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 xml:space="preserve">لما روي أنه- صلى </w:t>
        </w:r>
        <w:r>
          <w:rPr>
            <w:rFonts w:ascii="Sakkal Majalla" w:eastAsia="Times New Roman" w:hAnsi="Sakkal Majalla" w:cs="Sakkal Majalla"/>
            <w:color w:val="0070C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>الله عليه وسلم- توضأ ومسح بجميع رأسه</w:t>
        </w:r>
      </w:hyperlink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 .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وقد تقدم أنه مسح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بناصيته، فيكون </w:t>
      </w:r>
      <w:hyperlink r:id="rId42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فرضًا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ويكون مسح الجميع </w:t>
      </w:r>
      <w:hyperlink r:id="rId43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سنة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>ً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وقال- عليه الصلاة والسلام-: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«</w:t>
      </w:r>
      <w:hyperlink r:id="rId44" w:history="1"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>الْأُذُنَانِ مِنَ الرَّأْسِ</w:t>
        </w:r>
      </w:hyperlink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»،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والمراد بيان الحكم دون الخِلقة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G-I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قيل: إن مسح الأذنين </w:t>
      </w:r>
      <w:proofErr w:type="gramStart"/>
      <w:r>
        <w:rPr>
          <w:rFonts w:ascii="Almarai" w:eastAsia="Times New Roman" w:hAnsi="Almarai" w:cs="Almarai"/>
          <w:color w:val="0070C0"/>
          <w:sz w:val="28"/>
          <w:szCs w:val="28"/>
          <w:rtl/>
        </w:rPr>
        <w:t>أدب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proofErr w:type="gramEnd"/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SB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[7]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 تخليل </w:t>
      </w:r>
      <w:proofErr w:type="gramStart"/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اللحية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 .</w:t>
      </w:r>
      <w:proofErr w:type="gramEnd"/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  لما روي </w:t>
      </w:r>
      <w:hyperlink r:id="rId45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 xml:space="preserve">أنه- صلى </w:t>
        </w:r>
        <w:r>
          <w:rPr>
            <w:rFonts w:ascii="Sakkal Majalla" w:eastAsia="Times New Roman" w:hAnsi="Sakkal Majalla" w:cs="Sakkal Majalla"/>
            <w:color w:val="00000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الله عليه وسلم- كان إذا توضأ شبَّك أصابعه في لحيته كأنها أسنان المشط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G-KM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[1] تخليل اللحية سنة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وقيل: هو </w:t>
      </w:r>
      <w:hyperlink r:id="rId46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سنة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عند </w:t>
      </w:r>
      <w:hyperlink r:id="rId47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أبي يوسف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جائزٌ </w:t>
      </w:r>
      <w:hyperlink r:id="rId48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عندهما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u w:val="single"/>
          <w:rtl/>
        </w:rPr>
        <w:t>؛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لأن</w:t>
      </w:r>
      <w:hyperlink r:id="rId49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 xml:space="preserve"> </w:t>
        </w:r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السنة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>: إكمال</w:t>
      </w:r>
      <w:hyperlink r:id="rId50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 xml:space="preserve"> الفرض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في محله، وباطن اللحية لم يبق محلًّا </w:t>
      </w:r>
      <w:hyperlink r:id="rId51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للفرض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SB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[8]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تخليل </w:t>
      </w:r>
      <w:proofErr w:type="gramStart"/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الأصابع .</w:t>
      </w:r>
      <w:proofErr w:type="gramEnd"/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لأنه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إكمال </w:t>
      </w:r>
      <w:hyperlink r:id="rId52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الفرض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في محله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ولقوله- عليه الصلاة والسلام-: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«</w:t>
      </w:r>
      <w:hyperlink r:id="rId53" w:history="1"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>خَلِّلُوا أَصَابِعَكُمْ قَبْلَ أَنْ تَتَخَلَّلَهَا نَارُ جَهَنَّمَ</w:t>
        </w:r>
      </w:hyperlink>
      <w:r>
        <w:rPr>
          <w:rFonts w:ascii="Almarai" w:eastAsia="Times New Roman" w:hAnsi="Almarai" w:cs="Almarai"/>
          <w:color w:val="0070C0"/>
          <w:sz w:val="28"/>
          <w:szCs w:val="28"/>
          <w:rtl/>
        </w:rPr>
        <w:t>»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SB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[9]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تثليث </w:t>
      </w:r>
      <w:proofErr w:type="gramStart"/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الغسل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proofErr w:type="gramEnd"/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G-KM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الواحدة </w:t>
      </w:r>
      <w:hyperlink r:id="rId54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فرض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والثالثة </w:t>
      </w:r>
      <w:hyperlink r:id="rId55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سُنة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>، والثانية دونها في الفضيلة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lastRenderedPageBreak/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و</w:t>
      </w:r>
      <w:hyperlink r:id="rId56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أصله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hyperlink r:id="rId57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الحديث المشهور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: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أنه عليه </w:t>
      </w:r>
      <w:r>
        <w:rPr>
          <w:rFonts w:ascii="Sakkal Majalla" w:eastAsia="Times New Roman" w:hAnsi="Sakkal Majalla" w:cs="Sakkal Majalla"/>
          <w:color w:val="0070C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الصلاة والسلام توضأ ثلاثًا وقال: «</w:t>
      </w:r>
      <w:hyperlink r:id="rId58" w:history="1"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>هَذَا وُضُوئِي وَوُضُوءُ الْأَنْبِيَاءِ مِنْ قَبْلِي</w:t>
        </w:r>
      </w:hyperlink>
      <w:r>
        <w:rPr>
          <w:rFonts w:ascii="Almarai" w:eastAsia="Times New Roman" w:hAnsi="Almarai" w:cs="Almarai"/>
          <w:color w:val="0070C0"/>
          <w:sz w:val="28"/>
          <w:szCs w:val="28"/>
          <w:rtl/>
        </w:rPr>
        <w:t>»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وما </w:t>
      </w:r>
      <w:hyperlink r:id="rId59" w:history="1"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 xml:space="preserve">روي أن عثمان- رضي الله عنه- توضأ بالمقاعد فغسل </w:t>
        </w:r>
        <w:r>
          <w:rPr>
            <w:rFonts w:ascii="Sakkal Majalla" w:eastAsia="Times New Roman" w:hAnsi="Sakkal Majalla" w:cs="Sakkal Majalla"/>
            <w:color w:val="0070C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 xml:space="preserve">وجهه ثلاثًا ويديه ثلاثًا، ومسح برأسه مرة واحدة، وغسل رجليه ثلاثًا وقال: هكذا توضأ رسول الله- صلى </w:t>
        </w:r>
        <w:r>
          <w:rPr>
            <w:rFonts w:ascii="Sakkal Majalla" w:eastAsia="Times New Roman" w:hAnsi="Sakkal Majalla" w:cs="Sakkal Majalla"/>
            <w:color w:val="0070C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>الله عليه وسلم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وقيل: الثانية </w:t>
      </w:r>
      <w:hyperlink r:id="rId60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سنة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والثالثة إكمال </w:t>
      </w:r>
      <w:hyperlink r:id="rId61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السنة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>
      <w:pPr>
        <w:bidi/>
        <w:spacing w:after="8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P-01-01-05</w:t>
      </w:r>
    </w:p>
    <w:p>
      <w:pPr>
        <w:bidi/>
        <w:spacing w:after="8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</w:rPr>
        <w:t>N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40404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 تعريف </w:t>
      </w:r>
      <w:r>
        <w:rPr>
          <w:rFonts w:ascii="Almarai Bold" w:eastAsia="Times New Roman" w:hAnsi="Almarai Bold" w:cs="Almarai Bold"/>
          <w:color w:val="00B050"/>
          <w:sz w:val="32"/>
          <w:szCs w:val="32"/>
          <w:rtl/>
        </w:rPr>
        <w:t xml:space="preserve">المستحب 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والعلاقة بينه وبين </w:t>
      </w:r>
      <w:r>
        <w:rPr>
          <w:rFonts w:ascii="Almarai Bold" w:eastAsia="Times New Roman" w:hAnsi="Almarai Bold" w:cs="Almarai Bold"/>
          <w:color w:val="00B050"/>
          <w:sz w:val="32"/>
          <w:szCs w:val="32"/>
          <w:rtl/>
        </w:rPr>
        <w:t>المندوب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:</w:t>
      </w:r>
      <w:r>
        <w:rPr>
          <w:rFonts w:ascii="Calibri" w:eastAsia="Times New Roman" w:hAnsi="Calibri" w:cs="Calibri"/>
          <w:color w:val="40404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40404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DB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hyperlink r:id="rId62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المستحب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t>لغة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: هو الشيء المحبوب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</w:t>
      </w:r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t>وشرعًا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قيل: هو ما فعله النبي- صلى الله عليه وسلم- مرة وتركه أخرى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والمندوب: ما فعله مرة أو مرتين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 [2] وقيل: هما سواء، وعليه الأصوليون، قال في «التحرير»: وما لم يواظب عليه مندوب </w:t>
      </w:r>
      <w:r>
        <w:rPr>
          <w:rFonts w:ascii="Almarai" w:eastAsia="Times New Roman" w:hAnsi="Almarai" w:cs="Almarai"/>
          <w:color w:val="00B0F0"/>
          <w:sz w:val="28"/>
          <w:szCs w:val="28"/>
          <w:rtl/>
        </w:rPr>
        <w:t>و</w:t>
      </w:r>
      <w:hyperlink r:id="rId63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مستحب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وإن لم يفعله بعدما رغَّب فيه .</w:t>
      </w:r>
      <w:r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</w:rPr>
        <w:t>ED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0"/>
          <w:szCs w:val="30"/>
        </w:rPr>
        <w:t>HB</w:t>
      </w:r>
      <w:r>
        <w:rPr>
          <w:rFonts w:ascii="Almarai" w:eastAsia="Times New Roman" w:hAnsi="Almarai" w:cs="Almarai"/>
          <w:b/>
          <w:bCs/>
          <w:color w:val="00B05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b/>
          <w:bCs/>
          <w:color w:val="0070C0"/>
          <w:sz w:val="32"/>
          <w:szCs w:val="32"/>
          <w:rtl/>
        </w:rPr>
        <w:t xml:space="preserve">مستحبات </w:t>
      </w:r>
      <w:r>
        <w:rPr>
          <w:rFonts w:ascii="Almarai" w:eastAsia="Times New Roman" w:hAnsi="Almarai" w:cs="Almarai"/>
          <w:b/>
          <w:bCs/>
          <w:color w:val="00B050"/>
          <w:sz w:val="32"/>
          <w:szCs w:val="32"/>
          <w:rtl/>
        </w:rPr>
        <w:t>الوضوء</w:t>
      </w:r>
      <w:r>
        <w:rPr>
          <w:rFonts w:ascii="Calibri" w:eastAsia="Times New Roman" w:hAnsi="Calibri" w:cs="Calibri"/>
          <w:color w:val="00000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0"/>
          <w:szCs w:val="30"/>
        </w:rPr>
        <w:t>EH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SB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ويستحب في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الوضوء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:</w:t>
      </w:r>
    </w:p>
    <w:p>
      <w:pPr>
        <w:bidi/>
        <w:spacing w:after="80" w:line="480" w:lineRule="auto"/>
        <w:jc w:val="both"/>
        <w:rPr>
          <w:rFonts w:ascii="Almarai" w:eastAsia="Times New Roman" w:hAnsi="Almarai" w:cs="Almarai"/>
          <w:color w:val="000000"/>
          <w:sz w:val="28"/>
          <w:szCs w:val="28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lastRenderedPageBreak/>
        <w:t xml:space="preserve">[1] </w:t>
      </w:r>
      <w:proofErr w:type="gramStart"/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النيةُ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proofErr w:type="gramEnd"/>
    </w:p>
    <w:p>
      <w:pPr>
        <w:bidi/>
        <w:spacing w:after="80" w:line="480" w:lineRule="auto"/>
        <w:jc w:val="both"/>
        <w:rPr>
          <w:rFonts w:ascii="Almarai" w:eastAsia="Times New Roman" w:hAnsi="Almarai" w:cs="Almarai"/>
          <w:color w:val="000000"/>
          <w:sz w:val="28"/>
          <w:szCs w:val="28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[2] </w:t>
      </w:r>
      <w:proofErr w:type="gramStart"/>
      <w:r>
        <w:rPr>
          <w:rFonts w:ascii="Almarai" w:eastAsia="Times New Roman" w:hAnsi="Almarai" w:cs="Almarai"/>
          <w:color w:val="00B050"/>
          <w:sz w:val="28"/>
          <w:szCs w:val="28"/>
          <w:rtl/>
        </w:rPr>
        <w:t>والتر</w:t>
      </w:r>
      <w:bookmarkStart w:id="0" w:name="_GoBack"/>
      <w:bookmarkEnd w:id="0"/>
      <w:r>
        <w:rPr>
          <w:rFonts w:ascii="Almarai" w:eastAsia="Times New Roman" w:hAnsi="Almarai" w:cs="Almarai"/>
          <w:color w:val="00B050"/>
          <w:sz w:val="28"/>
          <w:szCs w:val="28"/>
          <w:rtl/>
        </w:rPr>
        <w:t>تيب .</w:t>
      </w:r>
      <w:proofErr w:type="gramEnd"/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ليقع </w:t>
      </w:r>
      <w:hyperlink r:id="rId64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قربة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وليخرج عن </w:t>
      </w:r>
      <w:hyperlink r:id="rId65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عهدة الفرض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hyperlink r:id="rId66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بالإجماع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G-I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قيل: إنهما سُنَّتان وهو </w:t>
      </w:r>
      <w:hyperlink r:id="rId67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الأصح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hyperlink r:id="rId68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ل</w:t>
        </w:r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 xml:space="preserve">مواظبته- صلى </w:t>
        </w:r>
        <w:r>
          <w:rPr>
            <w:rFonts w:ascii="Sakkal Majalla" w:eastAsia="Times New Roman" w:hAnsi="Sakkal Majalla" w:cs="Sakkal Majalla"/>
            <w:color w:val="00B0F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الله عليه وسلم- عليهما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[3]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الموالاة: وهو ألا يشتغل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بين أفعال الوضوء بغيرها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وليس ذلك </w:t>
      </w:r>
      <w:hyperlink r:id="rId69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بفرض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لقوله تعالى: </w:t>
      </w:r>
      <w:r>
        <w:rPr>
          <w:rFonts w:ascii="Tajawal" w:eastAsia="Times New Roman" w:hAnsi="Tajawal" w:cs="Tajawal"/>
          <w:color w:val="00B050"/>
          <w:sz w:val="28"/>
          <w:szCs w:val="28"/>
          <w:rtl/>
        </w:rPr>
        <w:t xml:space="preserve">{إِذَا قُمْتُمْ إِلَى الصَّلَاةِ فَاغْسِلُوا}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[المائدة: 6] الآية، من غير اشتراطها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ولأنه ذكر بحرف الواو، وإنها للجمع بإجماع أئمة النحو واللغة نقلًا عن </w:t>
      </w:r>
      <w:hyperlink r:id="rId70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السيرافي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 و</w:t>
      </w:r>
      <w:hyperlink r:id="rId71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الزيادة على النص نسخ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ولا يجوز نسخ </w:t>
      </w:r>
      <w:hyperlink r:id="rId72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الكتاب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hyperlink r:id="rId73" w:history="1">
        <w:r>
          <w:rPr>
            <w:rFonts w:ascii="Sakkal Majalla" w:eastAsia="Times New Roman" w:hAnsi="Sakkal Majalla" w:cs="Sakkal Majalla"/>
            <w:color w:val="00B0F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بالخبر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لأنه راجح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SB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[4]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التيامن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لقوله- عليه الصلاة والسلام-: «</w:t>
      </w:r>
      <w:hyperlink r:id="rId74" w:history="1"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 xml:space="preserve">إِنَّ </w:t>
        </w:r>
        <w:r>
          <w:rPr>
            <w:rFonts w:ascii="Sakkal Majalla" w:eastAsia="Times New Roman" w:hAnsi="Sakkal Majalla" w:cs="Sakkal Majalla"/>
            <w:color w:val="0070C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>اللهَ يُحِبُّ التَّيَامُنَ فِي كُلِّ شَيْءٍ حَتَّى التَّنَعُّل وَالتَّرَجُّل</w:t>
        </w:r>
      </w:hyperlink>
      <w:r>
        <w:rPr>
          <w:rFonts w:ascii="Almarai" w:eastAsia="Times New Roman" w:hAnsi="Almarai" w:cs="Almarai"/>
          <w:color w:val="0070C0"/>
          <w:sz w:val="28"/>
          <w:szCs w:val="28"/>
          <w:rtl/>
        </w:rPr>
        <w:t>»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40404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 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حكم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مسح </w:t>
      </w:r>
      <w:r>
        <w:rPr>
          <w:rFonts w:ascii="Almarai Bold" w:eastAsia="Times New Roman" w:hAnsi="Almarai Bold" w:cs="Almarai Bold"/>
          <w:color w:val="00B050"/>
          <w:sz w:val="32"/>
          <w:szCs w:val="32"/>
          <w:rtl/>
        </w:rPr>
        <w:t>الرقبة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>:</w:t>
      </w:r>
      <w:r>
        <w:rPr>
          <w:rFonts w:ascii="Calibri" w:eastAsia="Times New Roman" w:hAnsi="Calibri" w:cs="Calibri"/>
          <w:color w:val="000000"/>
          <w:sz w:val="30"/>
          <w:szCs w:val="30"/>
          <w:rtl/>
        </w:rPr>
        <w:t xml:space="preserve"> </w:t>
      </w:r>
      <w:r>
        <w:rPr>
          <w:rFonts w:ascii="Calibri" w:eastAsia="Times New Roman" w:hAnsi="Calibri" w:cs="Calibri"/>
          <w:color w:val="40404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G-KM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مسح الرقبة </w:t>
      </w:r>
      <w:hyperlink r:id="rId75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مستحب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بظهر اليدين لعدم استعمال بلتهما، والحلقوم بدعة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وفي رواية الياميِّ أنه- صلى الله عليه وسلم- مسَحَ الرقبة مع مَسْحِ </w:t>
      </w:r>
      <w:proofErr w:type="gramStart"/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الرأس .</w:t>
      </w:r>
      <w:proofErr w:type="gramEnd"/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70C0"/>
          <w:sz w:val="28"/>
          <w:szCs w:val="28"/>
          <w:rtl/>
        </w:rPr>
        <w:lastRenderedPageBreak/>
        <w:t>وفي حديث وائل: وظاهر رقبته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[2] قيل: مسح الرقبة أيضًا بدعة .</w:t>
      </w:r>
    </w:p>
    <w:p>
      <w:pPr>
        <w:bidi/>
        <w:spacing w:after="8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P-01-01-06</w:t>
      </w:r>
    </w:p>
    <w:p>
      <w:pPr>
        <w:bidi/>
        <w:spacing w:after="8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</w:rPr>
        <w:t>N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0"/>
          <w:szCs w:val="30"/>
        </w:rPr>
        <w:t>HB</w:t>
      </w:r>
      <w:r>
        <w:rPr>
          <w:rFonts w:ascii="Almarai" w:eastAsia="Times New Roman" w:hAnsi="Almarai" w:cs="Almarai"/>
          <w:color w:val="000000"/>
          <w:sz w:val="32"/>
          <w:szCs w:val="32"/>
          <w:rtl/>
        </w:rPr>
        <w:t xml:space="preserve"> </w:t>
      </w:r>
      <w:r>
        <w:rPr>
          <w:rFonts w:ascii="Almarai" w:eastAsia="Times New Roman" w:hAnsi="Almarai" w:cs="Almarai"/>
          <w:color w:val="0070C0"/>
          <w:sz w:val="32"/>
          <w:szCs w:val="32"/>
          <w:rtl/>
        </w:rPr>
        <w:t xml:space="preserve">آداب </w:t>
      </w:r>
      <w:r>
        <w:rPr>
          <w:rFonts w:ascii="Almarai" w:eastAsia="Times New Roman" w:hAnsi="Almarai" w:cs="Almarai"/>
          <w:color w:val="00B050"/>
          <w:sz w:val="32"/>
          <w:szCs w:val="32"/>
          <w:rtl/>
        </w:rPr>
        <w:t>الوضوء</w:t>
      </w:r>
      <w:r>
        <w:rPr>
          <w:rFonts w:ascii="Almarai" w:eastAsia="Times New Roman" w:hAnsi="Almarai" w:cs="Almarai"/>
          <w:color w:val="00000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0"/>
          <w:szCs w:val="30"/>
        </w:rPr>
        <w:t>EH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ترك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الإسراف والتقتير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ترك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كلام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الناس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[3]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ترك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الاستعانة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 وعن الوبري: لا بأس بصب الخادم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كان عليه الصلاة والسلام يُصَب الماء </w:t>
      </w:r>
      <w:proofErr w:type="gramStart"/>
      <w:r>
        <w:rPr>
          <w:rFonts w:ascii="Almarai" w:eastAsia="Times New Roman" w:hAnsi="Almarai" w:cs="Almarai"/>
          <w:color w:val="0070C0"/>
          <w:sz w:val="28"/>
          <w:szCs w:val="28"/>
          <w:rtl/>
        </w:rPr>
        <w:t>عليه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proofErr w:type="gramEnd"/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[4]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التمسح بخرقة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يمسح بها موضع الاستنجاء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[5] استقاءُ مائِه بنفسه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[6] المبادرة إلى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ستر العورة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بعد الاستنجاء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[7]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نزع خاتم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عليه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اسمه تعالى أو اسم نبيه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- صلى الله عليه وسلم- حال الاستنجاء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[8] كون آنيته من خزف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[9] أن يغسل عروة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الإبريق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ثلاثًا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ووضعه على يساره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وإن كان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إناء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يغترف منه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فعن يمينه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[10] وضع يده حالة الغسل على عروته لا رأسه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[11] التأهب بالوضوء قبل الوقت .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lastRenderedPageBreak/>
        <w:t xml:space="preserve">[12] ذكر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الشهادتين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عند كل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عضو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[13]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استقبال القبلة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في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الوضوء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[14]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استصحاب النية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في جميع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أفعاله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[15]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تعاهد المُوقين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وما تحت الخاتم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[16]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الذكر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الملفوظ عند كل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عضو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[17]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ألا يلطم وجهه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بالماء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[18]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إمرار اليد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على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الأعضاء المغسولة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[19]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التأني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والدَّلك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خصوصًا في الشتاء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[20]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تجاوز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حدود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الوجه واليدين والرجلين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ليستيقن غسلهما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[21]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يطيل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الغُرة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[22] قول: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سبحانك اللهم وبحمدك، أشهد أن لا إله إلا الله وأشهد أن محمدًا عبده ورسوله، اللهم اجعلني من التوابين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 . . إلخ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[23] أن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يشرب فضل وضوئه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قائمًا مستقبلًا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، قيل: وإن شاء قاعدًا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[24]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صلاة ركعتين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عَقِيب الوضوء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[25]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ملء آنيته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استعدادًا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[26]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حفظ ثيابه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من المتقاطر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[27]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الامتخاط بالشمال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عند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الاستنشاق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 </w:t>
      </w:r>
    </w:p>
    <w:p>
      <w:pPr>
        <w:bidi/>
        <w:spacing w:after="8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</w:rPr>
        <w:t>N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0"/>
          <w:szCs w:val="30"/>
        </w:rPr>
        <w:lastRenderedPageBreak/>
        <w:t>HB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70C0"/>
          <w:sz w:val="32"/>
          <w:szCs w:val="32"/>
          <w:rtl/>
        </w:rPr>
        <w:t xml:space="preserve">من مكروهات </w:t>
      </w:r>
      <w:r>
        <w:rPr>
          <w:rFonts w:ascii="Almarai" w:eastAsia="Times New Roman" w:hAnsi="Almarai" w:cs="Almarai"/>
          <w:color w:val="00B050"/>
          <w:sz w:val="32"/>
          <w:szCs w:val="32"/>
          <w:rtl/>
        </w:rPr>
        <w:t>الوضوء</w:t>
      </w:r>
      <w:r>
        <w:rPr>
          <w:rFonts w:ascii="Calibri" w:eastAsia="Times New Roman" w:hAnsi="Calibri" w:cs="Calibri"/>
          <w:color w:val="00B05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0"/>
          <w:szCs w:val="30"/>
        </w:rPr>
        <w:t>EH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يكره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الامتخاط باليمن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عند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الاستنشاق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يكره أن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يستعين في وضوئه بغيره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إلا عند العجز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ليكون أعظمَ لثوابه وأخلصَ لعبادته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[3] يكره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إلقاء البُزاق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في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الماء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[4] يكره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 الزيادة على ثلاث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في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غسل الأعضاء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[5] يكره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الوضوء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بالماء المُشَمَّس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40404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 حكم الصلاة </w:t>
      </w:r>
      <w:r>
        <w:rPr>
          <w:rFonts w:ascii="Almarai Bold" w:eastAsia="Times New Roman" w:hAnsi="Almarai Bold" w:cs="Almarai Bold"/>
          <w:color w:val="00B050"/>
          <w:sz w:val="32"/>
          <w:szCs w:val="32"/>
          <w:rtl/>
        </w:rPr>
        <w:t xml:space="preserve">بوضوء واحد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أكثر من فرض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>:</w:t>
      </w:r>
      <w:r>
        <w:rPr>
          <w:rFonts w:ascii="Calibri" w:eastAsia="Times New Roman" w:hAnsi="Calibri" w:cs="Calibri"/>
          <w:color w:val="40404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404040"/>
          <w:sz w:val="32"/>
          <w:szCs w:val="32"/>
        </w:rPr>
        <w:t>ET</w:t>
      </w:r>
    </w:p>
    <w:p>
      <w:pPr>
        <w:bidi/>
        <w:spacing w:after="80" w:line="48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يصلي بوضوء واحدٍ ما شاء من </w:t>
      </w:r>
      <w:hyperlink r:id="rId76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الفرائض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والنوافل . </w:t>
      </w:r>
    </w:p>
    <w:p>
      <w:pPr>
        <w:bidi/>
        <w:spacing w:after="80" w:line="48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hyperlink r:id="rId77" w:history="1"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 xml:space="preserve">لأنه- صلى </w:t>
        </w:r>
        <w:r>
          <w:rPr>
            <w:rFonts w:ascii="Sakkal Majalla" w:eastAsia="Times New Roman" w:hAnsi="Sakkal Majalla" w:cs="Sakkal Majalla"/>
            <w:color w:val="0070C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>الله عليه وسلم- صلى يوم الخندق أربع صلوات بوضوء واحد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</w:rPr>
        <w:t>N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  <w:rtl/>
        </w:rPr>
        <w:t> 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</w:rPr>
        <w:t>ZB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[</w:t>
      </w:r>
      <w:proofErr w:type="gramEnd"/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1]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الطهارة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: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النظافة عن النجاسة حقيقة كانت وهي الخبث أو حكمية وهي الحدث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الوضوء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: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الغسل والمسح في أعضاء مخصوصة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[3]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فرائض الوضوء:</w:t>
      </w:r>
      <w:r>
        <w:rPr>
          <w:rFonts w:ascii="Sakkal Majalla" w:eastAsia="Times New Roman" w:hAnsi="Sakkal Majalla" w:cs="Sakkal Majalla"/>
          <w:color w:val="0070C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(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غسل الوجه</w:t>
      </w:r>
      <w:r>
        <w:rPr>
          <w:rFonts w:ascii="Sakkal Majalla" w:eastAsia="Times New Roman" w:hAnsi="Sakkal Majalla" w:cs="Sakkal Majalla"/>
          <w:color w:val="00B05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، غسل اليدين مع المرفقين، مسح ربع الرأس، غسل الرجلين مع الكعبين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)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[4]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سنن الوضوء: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(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غسل اليدين إلى الرسغين ثلاثًا قبل إدخالهما في الإناء لمن استيقظ </w:t>
      </w:r>
      <w:r>
        <w:rPr>
          <w:rFonts w:ascii="Sakkal Majalla" w:eastAsia="Times New Roman" w:hAnsi="Sakkal Majalla" w:cs="Sakkal Majalla"/>
          <w:color w:val="00B05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من نومه، </w:t>
      </w:r>
      <w:r>
        <w:rPr>
          <w:rFonts w:ascii="Sakkal Majalla" w:eastAsia="Times New Roman" w:hAnsi="Sakkal Majalla" w:cs="Sakkal Majalla"/>
          <w:color w:val="00B05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 تسميةُ الله تعالى في ابتدائه، </w:t>
      </w:r>
      <w:r>
        <w:rPr>
          <w:rFonts w:ascii="Sakkal Majalla" w:eastAsia="Times New Roman" w:hAnsi="Sakkal Majalla" w:cs="Sakkal Majalla"/>
          <w:color w:val="00B050"/>
          <w:sz w:val="28"/>
          <w:szCs w:val="28"/>
          <w:rtl/>
        </w:rPr>
        <w:t>‏‏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السواك، المضمضة، الاستنشاق، مسحُ جميع الرأس والأذنين بماء واحد، تخليل اللحية والأصابع، تثليث الغسل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)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lastRenderedPageBreak/>
        <w:t xml:space="preserve">[5]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مستحبات الوضوء: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(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النية، الترتيب، التيامُن، مسح الرقبة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)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[6]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يكره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أن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يستعين في وضوئه بغيره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إلا عند العجز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[7]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يجوز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أن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يصلي بوضوء واحد ما شاء من الفرائض والنوافل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 </w:t>
      </w:r>
      <w:r>
        <w:rPr>
          <w:rFonts w:ascii="Almarai" w:eastAsia="Times New Roman" w:hAnsi="Almarai" w:cs="Almarai"/>
          <w:color w:val="000000"/>
          <w:sz w:val="28"/>
          <w:szCs w:val="28"/>
        </w:rPr>
        <w:t>EZ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br/>
      </w:r>
    </w:p>
    <w:p/>
    <w:sectPr>
      <w:headerReference w:type="even" r:id="rId78"/>
      <w:headerReference w:type="default" r:id="rId79"/>
      <w:footerReference w:type="even" r:id="rId80"/>
      <w:footerReference w:type="default" r:id="rId81"/>
      <w:headerReference w:type="first" r:id="rId82"/>
      <w:footerReference w:type="first" r:id="rId8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marai ExtraBold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Almarai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lmarai Bold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0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26" Type="http://schemas.openxmlformats.org/officeDocument/2006/relationships/hyperlink" Target="about:blank" TargetMode="External"/><Relationship Id="rId39" Type="http://schemas.openxmlformats.org/officeDocument/2006/relationships/hyperlink" Target="about:blank" TargetMode="External"/><Relationship Id="rId21" Type="http://schemas.openxmlformats.org/officeDocument/2006/relationships/hyperlink" Target="about:blank" TargetMode="External"/><Relationship Id="rId34" Type="http://schemas.openxmlformats.org/officeDocument/2006/relationships/hyperlink" Target="about:blank" TargetMode="External"/><Relationship Id="rId42" Type="http://schemas.openxmlformats.org/officeDocument/2006/relationships/hyperlink" Target="about:blank" TargetMode="External"/><Relationship Id="rId47" Type="http://schemas.openxmlformats.org/officeDocument/2006/relationships/hyperlink" Target="about:blank" TargetMode="External"/><Relationship Id="rId50" Type="http://schemas.openxmlformats.org/officeDocument/2006/relationships/hyperlink" Target="about:blank" TargetMode="External"/><Relationship Id="rId55" Type="http://schemas.openxmlformats.org/officeDocument/2006/relationships/hyperlink" Target="about:blank" TargetMode="External"/><Relationship Id="rId63" Type="http://schemas.openxmlformats.org/officeDocument/2006/relationships/hyperlink" Target="about:blank" TargetMode="External"/><Relationship Id="rId68" Type="http://schemas.openxmlformats.org/officeDocument/2006/relationships/hyperlink" Target="about:blank" TargetMode="External"/><Relationship Id="rId76" Type="http://schemas.openxmlformats.org/officeDocument/2006/relationships/hyperlink" Target="about:blank" TargetMode="External"/><Relationship Id="rId84" Type="http://schemas.openxmlformats.org/officeDocument/2006/relationships/fontTable" Target="fontTable.xml"/><Relationship Id="rId7" Type="http://schemas.openxmlformats.org/officeDocument/2006/relationships/hyperlink" Target="about:blank" TargetMode="External"/><Relationship Id="rId71" Type="http://schemas.openxmlformats.org/officeDocument/2006/relationships/hyperlink" Target="about:blank" TargetMode="External"/><Relationship Id="rId2" Type="http://schemas.openxmlformats.org/officeDocument/2006/relationships/settings" Target="settings.xml"/><Relationship Id="rId16" Type="http://schemas.openxmlformats.org/officeDocument/2006/relationships/hyperlink" Target="about:blank" TargetMode="External"/><Relationship Id="rId29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24" Type="http://schemas.openxmlformats.org/officeDocument/2006/relationships/hyperlink" Target="about:blank" TargetMode="External"/><Relationship Id="rId32" Type="http://schemas.openxmlformats.org/officeDocument/2006/relationships/hyperlink" Target="about:blank" TargetMode="External"/><Relationship Id="rId37" Type="http://schemas.openxmlformats.org/officeDocument/2006/relationships/hyperlink" Target="about:blank" TargetMode="External"/><Relationship Id="rId40" Type="http://schemas.openxmlformats.org/officeDocument/2006/relationships/hyperlink" Target="about:blank" TargetMode="External"/><Relationship Id="rId45" Type="http://schemas.openxmlformats.org/officeDocument/2006/relationships/hyperlink" Target="about:blank" TargetMode="External"/><Relationship Id="rId53" Type="http://schemas.openxmlformats.org/officeDocument/2006/relationships/hyperlink" Target="about:blank" TargetMode="External"/><Relationship Id="rId58" Type="http://schemas.openxmlformats.org/officeDocument/2006/relationships/hyperlink" Target="about:blank" TargetMode="External"/><Relationship Id="rId66" Type="http://schemas.openxmlformats.org/officeDocument/2006/relationships/hyperlink" Target="about:blank" TargetMode="External"/><Relationship Id="rId74" Type="http://schemas.openxmlformats.org/officeDocument/2006/relationships/hyperlink" Target="about:blank" TargetMode="External"/><Relationship Id="rId79" Type="http://schemas.openxmlformats.org/officeDocument/2006/relationships/header" Target="header2.xml"/><Relationship Id="rId5" Type="http://schemas.openxmlformats.org/officeDocument/2006/relationships/endnotes" Target="endnotes.xml"/><Relationship Id="rId61" Type="http://schemas.openxmlformats.org/officeDocument/2006/relationships/hyperlink" Target="about:blank" TargetMode="External"/><Relationship Id="rId82" Type="http://schemas.openxmlformats.org/officeDocument/2006/relationships/header" Target="header3.xml"/><Relationship Id="rId19" Type="http://schemas.openxmlformats.org/officeDocument/2006/relationships/hyperlink" Target="about:blank" TargetMode="External"/><Relationship Id="rId4" Type="http://schemas.openxmlformats.org/officeDocument/2006/relationships/footnotes" Target="footnotes.xml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35" Type="http://schemas.openxmlformats.org/officeDocument/2006/relationships/hyperlink" Target="about:blank" TargetMode="External"/><Relationship Id="rId43" Type="http://schemas.openxmlformats.org/officeDocument/2006/relationships/hyperlink" Target="about:blank" TargetMode="External"/><Relationship Id="rId48" Type="http://schemas.openxmlformats.org/officeDocument/2006/relationships/hyperlink" Target="about:blank" TargetMode="External"/><Relationship Id="rId56" Type="http://schemas.openxmlformats.org/officeDocument/2006/relationships/hyperlink" Target="about:blank" TargetMode="External"/><Relationship Id="rId64" Type="http://schemas.openxmlformats.org/officeDocument/2006/relationships/hyperlink" Target="about:blank" TargetMode="External"/><Relationship Id="rId69" Type="http://schemas.openxmlformats.org/officeDocument/2006/relationships/hyperlink" Target="about:blank" TargetMode="External"/><Relationship Id="rId7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Relationship Id="rId51" Type="http://schemas.openxmlformats.org/officeDocument/2006/relationships/hyperlink" Target="about:blank" TargetMode="External"/><Relationship Id="rId72" Type="http://schemas.openxmlformats.org/officeDocument/2006/relationships/hyperlink" Target="about:blank" TargetMode="External"/><Relationship Id="rId80" Type="http://schemas.openxmlformats.org/officeDocument/2006/relationships/footer" Target="footer1.xml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33" Type="http://schemas.openxmlformats.org/officeDocument/2006/relationships/hyperlink" Target="about:blank" TargetMode="External"/><Relationship Id="rId38" Type="http://schemas.openxmlformats.org/officeDocument/2006/relationships/hyperlink" Target="about:blank" TargetMode="External"/><Relationship Id="rId46" Type="http://schemas.openxmlformats.org/officeDocument/2006/relationships/hyperlink" Target="about:blank" TargetMode="External"/><Relationship Id="rId59" Type="http://schemas.openxmlformats.org/officeDocument/2006/relationships/hyperlink" Target="about:blank" TargetMode="External"/><Relationship Id="rId67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41" Type="http://schemas.openxmlformats.org/officeDocument/2006/relationships/hyperlink" Target="about:blank" TargetMode="External"/><Relationship Id="rId54" Type="http://schemas.openxmlformats.org/officeDocument/2006/relationships/hyperlink" Target="about:blank" TargetMode="External"/><Relationship Id="rId62" Type="http://schemas.openxmlformats.org/officeDocument/2006/relationships/hyperlink" Target="about:blank" TargetMode="External"/><Relationship Id="rId70" Type="http://schemas.openxmlformats.org/officeDocument/2006/relationships/hyperlink" Target="about:blank" TargetMode="External"/><Relationship Id="rId75" Type="http://schemas.openxmlformats.org/officeDocument/2006/relationships/hyperlink" Target="about:blank" TargetMode="External"/><Relationship Id="rId83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15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36" Type="http://schemas.openxmlformats.org/officeDocument/2006/relationships/hyperlink" Target="about:blank" TargetMode="External"/><Relationship Id="rId49" Type="http://schemas.openxmlformats.org/officeDocument/2006/relationships/hyperlink" Target="about:blank" TargetMode="External"/><Relationship Id="rId57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44" Type="http://schemas.openxmlformats.org/officeDocument/2006/relationships/hyperlink" Target="about:blank" TargetMode="External"/><Relationship Id="rId52" Type="http://schemas.openxmlformats.org/officeDocument/2006/relationships/hyperlink" Target="about:blank" TargetMode="External"/><Relationship Id="rId60" Type="http://schemas.openxmlformats.org/officeDocument/2006/relationships/hyperlink" Target="about:blank" TargetMode="External"/><Relationship Id="rId65" Type="http://schemas.openxmlformats.org/officeDocument/2006/relationships/hyperlink" Target="about:blank" TargetMode="External"/><Relationship Id="rId73" Type="http://schemas.openxmlformats.org/officeDocument/2006/relationships/hyperlink" Target="about:blank" TargetMode="External"/><Relationship Id="rId78" Type="http://schemas.openxmlformats.org/officeDocument/2006/relationships/header" Target="header1.xml"/><Relationship Id="rId8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1787</Words>
  <Characters>10191</Characters>
  <Application>Microsoft Office Word</Application>
  <DocSecurity>0</DocSecurity>
  <Lines>84</Lines>
  <Paragraphs>23</Paragraphs>
  <ScaleCrop>false</ScaleCrop>
  <Company/>
  <LinksUpToDate>false</LinksUpToDate>
  <CharactersWithSpaces>11955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2021-09-21T15:23:00Z</dcterms:created>
  <dcterms:modified xsi:type="dcterms:W3CDTF">2021-09-22T13:34:00Z</dcterms:modified>
</cp:coreProperties>
</file>