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LB</w:t>
      </w:r>
      <w:r>
        <w:rPr>
          <w:rFonts w:ascii="Almarai ExtraBold" w:eastAsia="Times New Roman" w:hAnsi="Almarai ExtraBold" w:cs="Almarai ExtraBold"/>
          <w:color w:val="000000"/>
          <w:sz w:val="44"/>
          <w:szCs w:val="44"/>
          <w:rtl/>
        </w:rPr>
        <w:t xml:space="preserve">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فرائض </w:t>
      </w:r>
      <w:r>
        <w:rPr>
          <w:rFonts w:ascii="Almarai ExtraBold" w:eastAsia="Times New Roman" w:hAnsi="Almarai ExtraBold" w:cs="Almarai ExtraBold"/>
          <w:color w:val="00B050"/>
          <w:sz w:val="44"/>
          <w:szCs w:val="44"/>
          <w:rtl/>
        </w:rPr>
        <w:t xml:space="preserve">الوضوء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>وسننه ومستحباته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</w:rPr>
        <w:t>EL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MB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بسم الله الرحمن الرحيم، والصلاة والسلام على أشرف المرسلين سيدنا محمد النبيِّ الأمي الكريم، صلى الله عليه وعلى آله وصحبه أجمعين، ثم أما بعد: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وستبدأ عزيزي الطالب في دراسة المحاضرة الأولى،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الوضوء، وسننه، ومستحباته، ومكروهاته، وحدود الأعضاء المغسولة، والممسوحة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EM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FB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يرجى لك عزيزي الطالب بعد دراستك لهذه المحاضرة أن: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تُعرِّف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شرعًا.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تبين سبب فرضية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تعدد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توضح حدود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تعدد سنن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تذكر مستحبات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323E4F"/>
          <w:sz w:val="36"/>
          <w:szCs w:val="36"/>
        </w:rPr>
        <w:t>EF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لغة وشرعًا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مطلق النظافة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> 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النظافة عن النجاسات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[1] نجاسة حقيقية وهي الخبث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حكمية وهي </w:t>
      </w:r>
      <w:hyperlink r:id="rId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أقسام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الطهارة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من الحدث: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 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تنقسم الطهارة من النجاسة بالاعتبار الثاني (الحكمية) إلى: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الكبرى؛ واسمها الخاص: الغُسل، والموجِب له: الحدثُ الأكبر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الصغرى؛ واسمها الخاص: الوضوء، والموجِب له: الحدث الأصغر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 التيمم؛ فإنه طهارة حكمية يَخلُفهما معًا، ويَخلُف كلًّا منهما منفردًا عن الآخر .</w:t>
      </w: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P-01-01-01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وجه تقديم الكلام على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العبادات على غيرها اهتمامًا بها؛ لأن الجن والإنس لم تخلق إلا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قدمت الصلاة من بينها لأنها عِمادها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الطهارة عليها لأنها مفتاحها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طهارة الوضوء لكثرة تكرارها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لغة وشرعًا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الوضوء في اللغة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من الوَضاءة؛ وهو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الحسن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وفي الشرع: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الغَسل والمسح في أعضاء مخصوصة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lastRenderedPageBreak/>
        <w:t>وفي المعنى الشرعي المعنى اللغوي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لأنه يحسن به الأعضاء التي يقع فيها الغَسل والمسح؛ فالغَسل: هو الإسالة، والمسح: الإصابة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سبب فرضية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وسبب فرضية الوضوء: إرادة الصلاة مع وجود </w:t>
      </w:r>
      <w:hyperlink r:id="rId7" w:history="1"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{إِذَا قُمْتُمْ إِلَى الصَّلَاةِ فَاغْسِلُوا}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[المائدة: 6]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G-O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قال </w:t>
      </w:r>
      <w:hyperlink r:id="rId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ابن عباس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معناه إذا أردتم القيام إلى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الصلاة وأنتم محدثون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وإطلاقاته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hyperlink r:id="rId9" w:history="1">
        <w:r>
          <w:rPr>
            <w:rFonts w:ascii="Almarai" w:eastAsia="Times New Roman" w:hAnsi="Almarai" w:cs="Almarai"/>
            <w:b/>
            <w:bCs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التقدير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شرعًا: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ما ثبت لزومه بدليل قطعي لا شبهة فيه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أصل الغَسل والمسح في أعضاء الوضوء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علمًا وعملًا،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كثيرًا ما يطلق الفرض على ما يفوت الجواز بفوته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غسلِ ومسحِ مقدارٍ معين فيها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P-01-01-02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وحدودها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Sakkal Majalla" w:eastAsia="Times New Roman" w:hAnsi="Sakkal Majalla" w:cs="Sakkal Majalla"/>
          <w:color w:val="0070C0"/>
          <w:sz w:val="32"/>
          <w:szCs w:val="32"/>
          <w:rtl/>
        </w:rPr>
        <w:t xml:space="preserve"> 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وفرضه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المرفقين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ربع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الكعبين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وحدوده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الوجه: ما يواجَه به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من </w:t>
      </w:r>
      <w:hyperlink r:id="rId12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قُصاص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الشَّعَر إلى أسفل </w:t>
      </w:r>
      <w:hyperlink r:id="rId13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الذقن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طولًا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بين </w:t>
      </w:r>
      <w:hyperlink r:id="rId14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شحمتي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الأذنين عرضًا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وسقط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غسل باطن العينين؛ لما فيه من المشقة وخوف الضرر بهما، وبه تسقط الطهارة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غسل ما بين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ذهب أبو حنيفة ومحمد إلى أنه يجب غسل ما بين </w:t>
      </w:r>
      <w:hyperlink r:id="rId15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والأذن؛ لأنه من الوَجْهِ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خالف أبو يوسف في غسل ما بين العذار والأذن بعد نبات اللحية؛ لسقوط غسل ما تحت </w:t>
      </w:r>
      <w:hyperlink r:id="rId1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وهو أقرب منه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1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قلنا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سقط ذلك للحائل، ولا حائل هنا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P-01-01-03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الخلاف في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قال </w:t>
      </w:r>
      <w:hyperlink r:id="rId1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زفر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لا يدخل المرفقان والكعبان في الغَسل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G-R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 «إلى» للغاية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قال الإمام أبو حنيفة والصاحبان: لا يدخلان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تستعمل «إلى» بمعنى «مع»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قال الله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{وَلَا تَأْكُلُوا أَمْوَالَهُمْ إِلَى أَمْوَالِكُمْ}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[النساء: 2]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فتكون الآية </w:t>
      </w:r>
      <w:hyperlink r:id="rId19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مجملةً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وقد وردت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hyperlink r:id="rId20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1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مفسرة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2" w:history="1">
        <w:r>
          <w:rPr>
            <w:rFonts w:ascii="Almarai" w:eastAsia="Times New Roman" w:hAnsi="Almarai" w:cs="Almarai"/>
            <w:color w:val="00B0F0"/>
            <w:sz w:val="28"/>
            <w:szCs w:val="28"/>
            <w:rtl/>
          </w:rPr>
          <w:t> 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فقد صح أنه- صلى الله عليه وسلم- أدار الماء على مرافقه، ورأى رجلًا توضأ ولم يُوصِل الماء إلى كعبيه فقال: «ويل للأعقاب من النار» وأمره بغسلهما .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الآية </w:t>
      </w:r>
      <w:hyperlink r:id="rId2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مجملةٌ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مسح الرأس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تحتمل إرادة الجميع كما قال </w:t>
      </w:r>
      <w:hyperlink r:id="rId2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مالك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تحتمل إرادة ما تناوله اسم المسح كما قاله </w:t>
      </w:r>
      <w:hyperlink r:id="rId2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الشافعي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تحتمل إرادة بعضه كما ذهب إليه </w:t>
      </w:r>
      <w:hyperlink r:id="rId2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أصحابنا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27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 xml:space="preserve">وقد 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صح أن النبي -صلى الله عليه وسلم- توضأ فمسح بناصيته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وذلك لما روى المغيرة بن شعبة- رضي الله تعالى عنه-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النبي- صلى الله عليه و سلم- أتى سُباطةَ- بالضم : أي كناسة- قومٍ فبال وتوضأ ومسح على ناصيته وخُفَّيه )،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فكان بيانًا للآية وحجة عليهما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مقدار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الناصية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عدد مرات المسح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المختار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مقدار </w:t>
      </w:r>
      <w:hyperlink r:id="rId2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الناصية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ما ذُكر في «الكتاب» وهو الربع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ولا يزيد على مرة واحدة؛ لأن بالتكرار يصير غسلًا، والمأمور به المسح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P-01-01-04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السنة: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جمع </w:t>
      </w:r>
      <w:hyperlink r:id="rId3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؛ وهي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الطريقة مَرضية كانت أو غير مَرضية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ما واظب عليه النبي- صلى الله عليه وسلم- مع الترك أحيانًا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اليدين إلى </w:t>
      </w:r>
      <w:hyperlink r:id="rId3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الرسغين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ثلاثًا قبل إدخالهما في الإناء لمن استيقظ من نومه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3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لحديث المستيقظ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كيفية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الغسل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من الإناء: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قيل: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صغيرًا يرفعه بيده اليسرى ويصب على اليمنى، ثم باليمنى فيصب على اليسرى، لتقع </w:t>
      </w:r>
      <w:hyperlink r:id="rId3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البداءة باليمنى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كما هو </w:t>
      </w:r>
      <w:hyperlink r:id="rId3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العادة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تعالى في ابتدائه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لمواظبته- صلى</w:t>
      </w:r>
      <w:r>
        <w:rPr>
          <w:rFonts w:ascii="Almarai" w:eastAsia="Times New Roman" w:hAnsi="Almarai" w:cs="Almarai" w:hint="cs"/>
          <w:color w:val="000000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الله عليه وسلم- عليها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6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مَنْ تَوَضَّأَ وَذَكَرَ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اسْمَ الله تَعَالَى كَانَ طَهُورًا لِجَمِيعِ بَدَنِهِ، وَمَنْ تَوَضَّأَ وَلَمْ يَذْكُرِ اسْمَ الله عَلَيْهِ كَانَ طَهُورًا لِمَا أَصَابَ الْـمَاءَ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السِّواك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لأنه- صلى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واظب عليه وقال: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أَوْصَانِي خَلِيلِي جِبْرِيلُ بِالسِّوَاكِ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 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قالوا: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3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أنه </w:t>
      </w:r>
      <w:hyperlink r:id="rId3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[5]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والاستنشاق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ثلاثًا ثلاثًا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يأخذ لكل مرة ماءً جديدًا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40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لمواظبته-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على ذلك كذلك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بماء واحد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41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لما روي 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توضأ ومسح بجميع رأسه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وقد تقدم أنه مسح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بناصيته، فيكون </w:t>
      </w:r>
      <w:hyperlink r:id="rId4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فرضًا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ويكون مسح الجميع </w:t>
      </w:r>
      <w:hyperlink r:id="rId4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>ً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4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الْأُذُنَانِ مِنَ الرَّأْسِ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»،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والمراد بيان الحكم دون الخِلقة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 مسح الأذنين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أدب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[7]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لما روي </w:t>
      </w:r>
      <w:hyperlink r:id="rId45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أنه-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كان إذا توضأ شبَّك أصابعه في لحيته كأنها أسنان المشط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تخليل اللحية سنة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هو </w:t>
      </w:r>
      <w:hyperlink r:id="rId4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hyperlink r:id="rId4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أبي يوسف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جائزٌ </w:t>
      </w:r>
      <w:hyperlink r:id="rId4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عندهما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</w:t>
      </w:r>
      <w:hyperlink r:id="rId49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 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إكمال</w:t>
      </w:r>
      <w:hyperlink r:id="rId5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محله، وباطن اللحية لم يبق محلًّا </w:t>
      </w:r>
      <w:hyperlink r:id="rId5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للفرض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الأصابع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لأنه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إكمال </w:t>
      </w:r>
      <w:hyperlink r:id="rId5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محله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ولقوله-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53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تثليث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الواحدة </w:t>
      </w:r>
      <w:hyperlink r:id="rId5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</w:t>
      </w:r>
      <w:hyperlink r:id="rId5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سُنة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والثانية دونها في الفضيلة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</w:t>
      </w:r>
      <w:hyperlink r:id="rId5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أصله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5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الحديث المشهور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الصلاة والسلام توضأ ثلاثًا وقال: «</w:t>
      </w:r>
      <w:hyperlink r:id="rId58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هَذَا وُضُوئِي وَوُضُوءُ الْأَنْبِيَاءِ مِنْ قَبْلِي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</w:t>
      </w:r>
      <w:hyperlink r:id="rId59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روي أن عثمان- رضي الله عنه- توضأ بالمقاعد فغسل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وجهه ثلاثًا ويديه ثلاثًا، ومسح برأسه مرة واحدة، وغسل رجليه ثلاثًا وقال: هكذا توضأ رسول الله-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الثانية </w:t>
      </w:r>
      <w:hyperlink r:id="rId6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إكمال </w:t>
      </w:r>
      <w:hyperlink r:id="rId6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P-01-01-05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المستحب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والعلاقة بينه وبين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المندوب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6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هو الشيء المحبوب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هو ما فعله النبي- صلى الله عليه وسلم- مرة وتركه أخرى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والمندوب: ما فعله مرة أو مرتين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وقيل: هما سواء، وعليه الأصوليون، قال في «التحرير»: وما لم يواظب عليه مندوب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6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وإن لم يفعله بعدما رغَّب فيه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eastAsia="Times New Roman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ويستحب 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والترتيب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ليقع </w:t>
      </w:r>
      <w:hyperlink r:id="rId6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قربة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وليخرج عن </w:t>
      </w:r>
      <w:hyperlink r:id="rId6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عهدة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بالإجماع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إنهما سُنَّتان وهو </w:t>
      </w:r>
      <w:hyperlink r:id="rId6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مواظبته- صلى </w:t>
        </w:r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الله عليه وسلم- عليهما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الموالاة: وهو ألا يشتغل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بين أفعال الوضوء بغيرها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وليس ذلك </w:t>
      </w:r>
      <w:hyperlink r:id="rId6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{إِذَا قُمْتُمْ إِلَى الصَّلَاةِ فَاغْسِلُوا}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الآية، من غير اشتراطها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ولأنه ذكر بحرف الواو، وإنها للجمع بإجماع أئمة النحو واللغة نقلًا عن </w:t>
      </w:r>
      <w:hyperlink r:id="rId7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السيرافي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و</w:t>
      </w:r>
      <w:hyperlink r:id="rId7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الزيادة على النص نسخ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ولا يجوز نسخ </w:t>
      </w:r>
      <w:hyperlink r:id="rId7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الكتاب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73" w:history="1"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بالخبر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لأنه راجح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التيامن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لقوله- عليه الصلاة والسلام-: «</w:t>
      </w:r>
      <w:hyperlink r:id="rId7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إِنَّ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اللهَ يُحِبُّ التَّيَامُنَ فِي كُلِّ شَيْءٍ حَتَّى التَّنَعُّل وَالتَّرَجُّل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مسح الرقبة </w:t>
      </w:r>
      <w:hyperlink r:id="rId7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بظهر اليدين لعدم استعمال بلتهما، والحلقوم بدعة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وفي رواية الياميِّ أنه- صلى الله عليه وسلم- مسَحَ الرقبة مع مَسْحِ الرأس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lastRenderedPageBreak/>
        <w:t>وفي حديث وائل: وظاهر رقبته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قيل: مسح الرقبة أيضًا بدعة .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P-01-01-06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الإسراف والتقتير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الناس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وعن الوبري: لا بأس بصب الخادم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كان عليه الصلاة والسلام يُصَب الماء عليه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يمسح بها موضع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[5] استقاءُ مائِه بنفسه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المبادرة إلى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بعد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عليه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- صلى الله عليه وسلم- حال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[8] كون آنيته من خزف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[9] أن يغسل عروة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وإن كان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يغترف منه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[10] وضع يده حالة الغسل على عروته لا رأسه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[11] التأهب بالوضوء قبل الوقت .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[12] ذكر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وما تحت الخاتم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الملفوظ 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خصوصًا في الشتاء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[20]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حدود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ليستيقن غسلهما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[22] قول: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. . إلخ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[23]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قيل: وإن شاء قاعدًا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عَقِيب 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استعدادًا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من المتقاطر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 بالشمال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lastRenderedPageBreak/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B05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الامتخاط باليمن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يكره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ليكون أعظمَ لثوابه وأخلصَ لعبادته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[4] يكره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الزيادة على ثلاث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الوضوء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حكم الصلاة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يصلي بوضوء واحدٍ ما شاء من </w:t>
      </w:r>
      <w:hyperlink r:id="rId7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الفرائض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والنوافل . 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7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صلى يوم الخندق أربع صلوات بوضوء واحد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</w:rPr>
        <w:t>ZB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غسل اليدين مع المرفقين، مسح ربع الرأس، غسل الرجلين مع الكعبين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اليدين إلى الرسغين ثلاثًا قبل إدخالهما في الإناء لمن استيقظ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من نومه،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تسميةُ الله تعالى في ابتدائه،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السواك، المضمضة، الاستنشاق، مسحُ جميع الرأس والأذنين بماء واحد، تخليل اللحية والأصابع، تثليث 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مستحبات الوضوء: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النية، الترتيب، التيامُن، مسح الرقبة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يكره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إلا عند العجز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يجوز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يصلي بوضوء واحد ما شاء من الفرائض والنوافل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Almarai" w:eastAsia="Times New Roman" w:hAnsi="Almarai" w:cs="Almarai"/>
          <w:color w:val="000000"/>
          <w:sz w:val="28"/>
          <w:szCs w:val="28"/>
        </w:rPr>
        <w:t>EZ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br/>
      </w:r>
    </w:p>
    <w:p/>
    <w:sectPr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about:blank" TargetMode="External"/><Relationship Id="rId82" Type="http://schemas.openxmlformats.org/officeDocument/2006/relationships/header" Target="header3.xml"/><Relationship Id="rId19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2021-09-21T15:23:00Z</dcterms:created>
  <dcterms:modified xsi:type="dcterms:W3CDTF">2021-09-22T16:05:00Z</dcterms:modified>
</cp:coreProperties>
</file>