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60" w:before="0" w:line="276"/>
        <w:jc w:val="center"/>
      </w:pPr>
      <w:r>
        <w:rPr>
          <w:rFonts w:ascii="Space Grotesk" w:cs="Space Grotesk" w:eastAsia="Space Grotesk" w:hAnsi="Space Grotesk"/>
          <w:b/>
          <w:bCs/>
          <w:color w:val="0F141C"/>
          <w:spacing w:val="24"/>
          <w:sz w:val="30"/>
          <w:szCs w:val="30"/>
        </w:rPr>
        <w:t xml:space="preserve">AKIHARU SCIENTIFIC AND ENGINEERING</w:t>
      </w:r>
    </w:p>
    <w:p>
      <w:pPr>
        <w:spacing w:after="700" w:before="0" w:line="276"/>
        <w:jc w:val="center"/>
      </w:pPr>
      <w:r>
        <w:rPr>
          <w:rFonts w:ascii="Avenir Next LT Pro" w:cs="Avenir Next LT Pro" w:eastAsia="Avenir Next LT Pro" w:hAnsi="Avenir Next LT Pro"/>
          <w:color w:val="5F7388"/>
          <w:sz w:val="18"/>
          <w:szCs w:val="18"/>
        </w:rPr>
        <w:t xml:space="preserve">Precision Instrumentation  ·  Condition Monitoring Systems</w:t>
      </w:r>
    </w:p>
    <w:p>
      <w:pPr>
        <w:pBdr>
          <w:top w:val="single" w:color="3E739F" w:sz="12" w:space="10"/>
        </w:pBdr>
        <w:spacing w:after="100"/>
        <w:jc w:val="center"/>
      </w:pPr>
    </w:p>
    <w:p>
      <w:pPr>
        <w:spacing w:after="80" w:before="0" w:line="276"/>
        <w:jc w:val="center"/>
      </w:pPr>
      <w:r>
        <w:rPr>
          <w:rFonts w:ascii="Space Grotesk" w:cs="Space Grotesk" w:eastAsia="Space Grotesk" w:hAnsi="Space Grotesk"/>
          <w:b/>
          <w:bCs/>
          <w:color w:val="0F141C"/>
          <w:spacing w:val="16"/>
          <w:sz w:val="40"/>
          <w:szCs w:val="40"/>
        </w:rPr>
        <w:t xml:space="preserve">VIBSCOPE SENSOR NODE</w:t>
      </w:r>
    </w:p>
    <w:p>
      <w:pPr>
        <w:spacing w:after="100" w:before="0" w:line="276"/>
        <w:jc w:val="center"/>
      </w:pPr>
      <w:r>
        <w:rPr>
          <w:rFonts w:ascii="Avenir Next LT Pro" w:cs="Avenir Next LT Pro" w:eastAsia="Avenir Next LT Pro" w:hAnsi="Avenir Next LT Pro"/>
          <w:color w:val="5F7388"/>
          <w:sz w:val="24"/>
          <w:szCs w:val="24"/>
        </w:rPr>
        <w:t xml:space="preserve">Manufacturing Recipe &amp; Design Record</w:t>
      </w:r>
    </w:p>
    <w:p>
      <w:pPr>
        <w:pBdr>
          <w:bottom w:val="single" w:color="3E739F" w:sz="12" w:space="10"/>
        </w:pBdr>
        <w:spacing w:after="640"/>
        <w:jc w:val="center"/>
      </w:pPr>
    </w:p>
    <w:tbl>
      <w:tblPr>
        <w:tblW w:type="dxa" w:w="9746"/>
        <w:tblBorders>
          <w:top w:val="single" w:color="B8BFC6" w:sz="4"/>
          <w:left w:val="single" w:color="B8BFC6" w:sz="4"/>
          <w:bottom w:val="single" w:color="B8BFC6" w:sz="4"/>
          <w:right w:val="single" w:color="B8BFC6" w:sz="4"/>
          <w:insideH w:val="single" w:color="B8BFC6" w:sz="2"/>
          <w:insideV w:val="single" w:color="B8BFC6" w:sz="2"/>
        </w:tblBorders>
      </w:tblPr>
      <w:tblGrid>
        <w:gridCol w:w="3249"/>
        <w:gridCol w:w="6497"/>
      </w:tblGrid>
      <w:tr>
        <w:trPr>
          <w:cantSplit/>
          <w:tblHeader w:val="false"/>
        </w:trPr>
        <w:tc>
          <w:tcPr>
            <w:tcW w:type="dxa" w:w="3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Document Number</w:t>
            </w:r>
          </w:p>
        </w:tc>
        <w:tc>
          <w:tcPr>
            <w:tcW w:type="dxa" w:w="6497"/>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AKI-VS-MR-001</w:t>
            </w:r>
          </w:p>
        </w:tc>
      </w:tr>
      <w:tr>
        <w:trPr>
          <w:cantSplit/>
          <w:tblHeader w:val="false"/>
        </w:trPr>
        <w:tc>
          <w:tcPr>
            <w:tcW w:type="dxa" w:w="3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Revision</w:t>
            </w:r>
          </w:p>
        </w:tc>
        <w:tc>
          <w:tcPr>
            <w:tcW w:type="dxa" w:w="64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A  (initial issue)</w:t>
            </w:r>
          </w:p>
        </w:tc>
      </w:tr>
      <w:tr>
        <w:trPr>
          <w:cantSplit/>
          <w:tblHeader w:val="false"/>
        </w:trPr>
        <w:tc>
          <w:tcPr>
            <w:tcW w:type="dxa" w:w="3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Issue Date</w:t>
            </w:r>
          </w:p>
        </w:tc>
        <w:tc>
          <w:tcPr>
            <w:tcW w:type="dxa" w:w="64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29 July 2026</w:t>
            </w:r>
          </w:p>
        </w:tc>
      </w:tr>
      <w:tr>
        <w:trPr>
          <w:cantSplit/>
          <w:tblHeader w:val="false"/>
        </w:trPr>
        <w:tc>
          <w:tcPr>
            <w:tcW w:type="dxa" w:w="3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Product</w:t>
            </w:r>
          </w:p>
        </w:tc>
        <w:tc>
          <w:tcPr>
            <w:tcW w:type="dxa" w:w="64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VibScope Sensor Node — ESP32 / RS-485 Modbus RTU vibration monitoring endpoint</w:t>
            </w:r>
          </w:p>
        </w:tc>
      </w:tr>
      <w:tr>
        <w:trPr>
          <w:cantSplit/>
          <w:tblHeader w:val="false"/>
        </w:trPr>
        <w:tc>
          <w:tcPr>
            <w:tcW w:type="dxa" w:w="3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Firmware Baseline</w:t>
            </w:r>
          </w:p>
        </w:tc>
        <w:tc>
          <w:tcPr>
            <w:tcW w:type="dxa" w:w="6497"/>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VibScope Controller v1.8.5-live-readings</w:t>
            </w:r>
          </w:p>
        </w:tc>
      </w:tr>
      <w:tr>
        <w:trPr>
          <w:cantSplit/>
          <w:tblHeader w:val="false"/>
        </w:trPr>
        <w:tc>
          <w:tcPr>
            <w:tcW w:type="dxa" w:w="3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Enclosure Revision</w:t>
            </w:r>
          </w:p>
        </w:tc>
        <w:tc>
          <w:tcPr>
            <w:tcW w:type="dxa" w:w="6497"/>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main.stl · back_cover.stl · psu_cover.stl</w:t>
            </w:r>
          </w:p>
        </w:tc>
      </w:tr>
      <w:tr>
        <w:trPr>
          <w:cantSplit/>
          <w:tblHeader w:val="false"/>
        </w:trPr>
        <w:tc>
          <w:tcPr>
            <w:tcW w:type="dxa" w:w="3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Classification</w:t>
            </w:r>
          </w:p>
        </w:tc>
        <w:tc>
          <w:tcPr>
            <w:tcW w:type="dxa" w:w="64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95433D"/>
                <w:sz w:val="18"/>
                <w:szCs w:val="18"/>
              </w:rPr>
              <w:t xml:space="preserve">STRICTLY CONFIDENTIAL</w:t>
            </w:r>
          </w:p>
        </w:tc>
      </w:tr>
      <w:tr>
        <w:trPr>
          <w:cantSplit/>
          <w:tblHeader w:val="false"/>
        </w:trPr>
        <w:tc>
          <w:tcPr>
            <w:tcW w:type="dxa" w:w="3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Prepared By</w:t>
            </w:r>
          </w:p>
        </w:tc>
        <w:tc>
          <w:tcPr>
            <w:tcW w:type="dxa" w:w="64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3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Approved By</w:t>
            </w:r>
          </w:p>
        </w:tc>
        <w:tc>
          <w:tcPr>
            <w:tcW w:type="dxa" w:w="64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bl>
    <w:p>
      <w:pPr>
        <w:spacing w:after="400"/>
      </w:pPr>
    </w:p>
    <w:tbl>
      <w:tblPr>
        <w:tblW w:type="dxa" w:w="9746"/>
        <w:tblBorders>
          <w:top w:val="single" w:color="95433D" w:sz="4"/>
          <w:left w:val="single" w:color="95433D" w:sz="18"/>
          <w:bottom w:val="single" w:color="95433D" w:sz="4"/>
          <w:right w:val="single" w:color="95433D" w:sz="4"/>
          <w:insideH w:val="none"/>
          <w:insideV w:val="none"/>
        </w:tblBorders>
      </w:tblPr>
      <w:tblGrid>
        <w:gridCol w:w="9746"/>
      </w:tblGrid>
      <w:tr>
        <w:trPr>
          <w:cantSplit/>
        </w:trPr>
        <w:tc>
          <w:tcPr>
            <w:tcW w:type="dxa" w:w="9746"/>
            <w:shd w:fill="F8F2F1" w:color="auto" w:val="clear"/>
            <w:tcMar>
              <w:top w:type="dxa" w:w="120"/>
              <w:left w:type="dxa" w:w="160"/>
              <w:bottom w:type="dxa" w:w="120"/>
              <w:right w:type="dxa" w:w="160"/>
            </w:tcMar>
          </w:tcPr>
          <w:p>
            <w:pPr>
              <w:spacing w:after="60"/>
            </w:pPr>
            <w:r>
              <w:rPr>
                <w:rFonts w:ascii="Avenir Next LT Pro" w:cs="Avenir Next LT Pro" w:eastAsia="Avenir Next LT Pro" w:hAnsi="Avenir Next LT Pro"/>
                <w:b/>
                <w:bCs/>
                <w:color w:val="95433D"/>
                <w:sz w:val="19"/>
                <w:szCs w:val="19"/>
              </w:rPr>
              <w:t xml:space="preserve">CONFIDENTIALITY NOTICE</w:t>
            </w:r>
          </w:p>
          <w:p>
            <w:pPr>
              <w:spacing w:after="60" w:line="264"/>
            </w:pPr>
            <w:r>
              <w:rPr>
                <w:rFonts w:ascii="Avenir Next LT Pro" w:cs="Avenir Next LT Pro" w:eastAsia="Avenir Next LT Pro" w:hAnsi="Avenir Next LT Pro"/>
                <w:color w:val="0F141C"/>
                <w:sz w:val="19"/>
                <w:szCs w:val="19"/>
              </w:rPr>
              <w:t xml:space="preserve">This document is the exclusive property of Akiharu Scientific and Engineering. It contains proprietary design, sourcing and process information constituting a trade secret.</w:t>
            </w:r>
          </w:p>
          <w:p>
            <w:pPr>
              <w:spacing w:after="60" w:line="264"/>
            </w:pPr>
            <w:r>
              <w:rPr>
                <w:rFonts w:ascii="Avenir Next LT Pro" w:cs="Avenir Next LT Pro" w:eastAsia="Avenir Next LT Pro" w:hAnsi="Avenir Next LT Pro"/>
                <w:color w:val="0F141C"/>
                <w:sz w:val="19"/>
                <w:szCs w:val="19"/>
              </w:rPr>
              <w:t xml:space="preserve">Disclosure, reproduction or transmission in whole or in part, by any means, without prior written authorisation of a Company director is strictly prohibited. Recipients are bound by the terms of their non-disclosure agreement.</w:t>
            </w:r>
          </w:p>
          <w:p>
            <w:pPr>
              <w:spacing w:after="60" w:line="264"/>
            </w:pPr>
            <w:r>
              <w:rPr>
                <w:rFonts w:ascii="Avenir Next LT Pro" w:cs="Avenir Next LT Pro" w:eastAsia="Avenir Next LT Pro" w:hAnsi="Avenir Next LT Pro"/>
                <w:color w:val="0F141C"/>
                <w:sz w:val="19"/>
                <w:szCs w:val="19"/>
              </w:rPr>
              <w:t xml:space="preserve">Uncontrolled once printed. Verify revision against the master register before use.</w:t>
            </w:r>
          </w:p>
        </w:tc>
      </w:tr>
    </w:tbl>
    <w:p>
      <w:r>
        <w:br w:type="page"/>
      </w:r>
    </w:p>
    <w:p>
      <w:pPr>
        <w:pStyle w:val="Heading1"/>
        <w:keepNext/>
        <w:keepLines/>
        <w:pBdr>
          <w:bottom w:val="single" w:color="B8BFC6" w:sz="8" w:space="6"/>
        </w:pBdr>
        <w:spacing w:after="160" w:before="360"/>
      </w:pPr>
      <w:r>
        <w:rPr>
          <w:rFonts w:ascii="Avenir Next LT Pro" w:cs="Avenir Next LT Pro" w:eastAsia="Avenir Next LT Pro" w:hAnsi="Avenir Next LT Pro"/>
          <w:b/>
          <w:bCs/>
          <w:color w:val="0F141C"/>
          <w:sz w:val="28"/>
          <w:szCs w:val="28"/>
        </w:rPr>
        <w:t xml:space="preserve">Contents</w:t>
      </w:r>
    </w:p>
    <w:p>
      <w:pPr>
        <w:spacing w:after="200" w:before="0" w:line="276"/>
      </w:pPr>
      <w:r>
        <w:rPr>
          <w:rFonts w:ascii="Avenir Next LT Pro" w:cs="Avenir Next LT Pro" w:eastAsia="Avenir Next LT Pro" w:hAnsi="Avenir Next LT Pro"/>
          <w:i/>
          <w:iCs/>
          <w:color w:val="5F7388"/>
          <w:sz w:val="17"/>
          <w:szCs w:val="17"/>
        </w:rPr>
        <w:t xml:space="preserve">If this page appears blank, select the field and press F9 to build the 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keepLines/>
        <w:pBdr>
          <w:bottom w:val="single" w:color="B8BFC6" w:sz="8" w:space="6"/>
        </w:pBdr>
        <w:spacing w:after="160" w:before="360"/>
      </w:pPr>
      <w:r>
        <w:rPr>
          <w:rFonts w:ascii="Avenir Next LT Pro" w:cs="Avenir Next LT Pro" w:eastAsia="Avenir Next LT Pro" w:hAnsi="Avenir Next LT Pro"/>
          <w:b/>
          <w:bCs/>
          <w:color w:val="0F141C"/>
          <w:sz w:val="28"/>
          <w:szCs w:val="28"/>
        </w:rPr>
        <w:t xml:space="preserve">1.  Purpose and Scope</w:t>
      </w:r>
    </w:p>
    <w:p>
      <w:pPr>
        <w:spacing w:after="120" w:before="0" w:line="276"/>
      </w:pPr>
      <w:r>
        <w:rPr>
          <w:rFonts w:ascii="Avenir Next LT Pro" w:cs="Avenir Next LT Pro" w:eastAsia="Avenir Next LT Pro" w:hAnsi="Avenir Next LT Pro"/>
          <w:color w:val="0F141C"/>
          <w:sz w:val="20"/>
          <w:szCs w:val="20"/>
        </w:rPr>
        <w:t xml:space="preserve">This document is the single controlled source for building one VibScope Sensor Node. It combines the design record — what the product is and why each component was selected — with the assembly procedure a technician follows to produce a unit.</w:t>
      </w:r>
    </w:p>
    <w:p>
      <w:pPr>
        <w:spacing w:after="120" w:before="0" w:line="276"/>
      </w:pPr>
      <w:r>
        <w:rPr>
          <w:rFonts w:ascii="Avenir Next LT Pro" w:cs="Avenir Next LT Pro" w:eastAsia="Avenir Next LT Pro" w:hAnsi="Avenir Next LT Pro"/>
          <w:color w:val="0F141C"/>
          <w:sz w:val="20"/>
          <w:szCs w:val="20"/>
        </w:rPr>
        <w:t xml:space="preserve">It covers the node only. The VibScope Server dashboard, the MQTT broker and the sensor itself are separate deliverables and are referenced here only at their interfaces.</w:t>
      </w:r>
    </w:p>
    <w:p>
      <w:pPr>
        <w:pStyle w:val="Heading2"/>
        <w:keepNext/>
        <w:keepLines/>
        <w:spacing w:after="120" w:before="280"/>
      </w:pPr>
      <w:r>
        <w:rPr>
          <w:rFonts w:ascii="Avenir Next LT Pro" w:cs="Avenir Next LT Pro" w:eastAsia="Avenir Next LT Pro" w:hAnsi="Avenir Next LT Pro"/>
          <w:b/>
          <w:bCs/>
          <w:color w:val="0F141C"/>
          <w:sz w:val="23"/>
          <w:szCs w:val="23"/>
        </w:rPr>
        <w:t xml:space="preserve">1.1  Product summary</w:t>
      </w:r>
    </w:p>
    <w:p>
      <w:pPr>
        <w:spacing w:after="120" w:before="0" w:line="276"/>
      </w:pPr>
      <w:r>
        <w:rPr>
          <w:rFonts w:ascii="Avenir Next LT Pro" w:cs="Avenir Next LT Pro" w:eastAsia="Avenir Next LT Pro" w:hAnsi="Avenir Next LT Pro"/>
          <w:color w:val="0F141C"/>
          <w:sz w:val="20"/>
          <w:szCs w:val="20"/>
        </w:rPr>
        <w:t xml:space="preserve">The VibScope Sensor Node is a mains-powered, enclosure-mounted controller that interrogates a Modbus RTU vibration sensor over an isolated RS-485 link, converts the readings to a normalised telemetry schema, and publishes them over Wi-Fi via MQTT to the VibScope Server.</w:t>
      </w:r>
    </w:p>
    <w:p>
      <w:pPr>
        <w:spacing w:after="120" w:before="0" w:line="276"/>
      </w:pPr>
      <w:r>
        <w:rPr>
          <w:rFonts w:ascii="Avenir Next LT Pro" w:cs="Avenir Next LT Pro" w:eastAsia="Avenir Next LT Pro" w:hAnsi="Avenir Next LT Pro"/>
          <w:color w:val="0F141C"/>
          <w:sz w:val="20"/>
          <w:szCs w:val="20"/>
        </w:rPr>
        <w:t xml:space="preserve">A WPA2-protected setup access point is permanently available so the unit can be commissioned and re-configured in the field without a console cable.</w:t>
      </w:r>
    </w:p>
    <w:p>
      <w:pPr>
        <w:pStyle w:val="Heading2"/>
        <w:keepNext/>
        <w:keepLines/>
        <w:spacing w:after="120" w:before="280"/>
      </w:pPr>
      <w:r>
        <w:rPr>
          <w:rFonts w:ascii="Avenir Next LT Pro" w:cs="Avenir Next LT Pro" w:eastAsia="Avenir Next LT Pro" w:hAnsi="Avenir Next LT Pro"/>
          <w:b/>
          <w:bCs/>
          <w:color w:val="0F141C"/>
          <w:sz w:val="23"/>
          <w:szCs w:val="23"/>
        </w:rPr>
        <w:t xml:space="preserve">1.2  Signal chain</w:t>
      </w:r>
    </w:p>
    <w:tbl>
      <w:tblPr>
        <w:tblW w:type="dxa" w:w="9746"/>
        <w:tblBorders>
          <w:top w:val="single" w:color="B8BFC6" w:sz="4"/>
          <w:left w:val="single" w:color="B8BFC6" w:sz="4"/>
          <w:bottom w:val="single" w:color="B8BFC6" w:sz="4"/>
          <w:right w:val="single" w:color="B8BFC6" w:sz="4"/>
          <w:insideH w:val="single" w:color="B8BFC6" w:sz="2"/>
          <w:insideV w:val="single" w:color="B8BFC6" w:sz="2"/>
        </w:tblBorders>
      </w:tblPr>
      <w:tblGrid>
        <w:gridCol w:w="2897"/>
        <w:gridCol w:w="6849"/>
      </w:tblGrid>
      <w:tr>
        <w:trPr>
          <w:cantSplit/>
          <w:tblHeader/>
        </w:trPr>
        <w:tc>
          <w:tcPr>
            <w:tcW w:type="dxa" w:w="2897"/>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Stage</w:t>
            </w:r>
          </w:p>
        </w:tc>
        <w:tc>
          <w:tcPr>
            <w:tcW w:type="dxa" w:w="6849"/>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Function</w:t>
            </w:r>
          </w:p>
        </w:tc>
      </w:tr>
      <w:tr>
        <w:trPr>
          <w:cantSplit/>
          <w:tblHeader w:val="false"/>
        </w:trPr>
        <w:tc>
          <w:tcPr>
            <w:tcW w:type="dxa" w:w="28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Sensor</w:t>
            </w:r>
          </w:p>
        </w:tc>
        <w:tc>
          <w:tcPr>
            <w:tcW w:type="dxa" w:w="68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Modbus RTU vibration sensor — acceleration, velocity, displacement, frequency and temperature registers</w:t>
            </w:r>
          </w:p>
        </w:tc>
      </w:tr>
      <w:tr>
        <w:trPr>
          <w:cantSplit/>
          <w:tblHeader w:val="false"/>
        </w:trPr>
        <w:tc>
          <w:tcPr>
            <w:tcW w:type="dxa" w:w="28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M12 4-pin</w:t>
            </w:r>
          </w:p>
        </w:tc>
        <w:tc>
          <w:tcPr>
            <w:tcW w:type="dxa" w:w="68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Field-serviceable sensor interface carrying sensor power and the RS-485 differential pair</w:t>
            </w:r>
          </w:p>
        </w:tc>
      </w:tr>
      <w:tr>
        <w:trPr>
          <w:cantSplit/>
          <w:tblHeader w:val="false"/>
        </w:trPr>
        <w:tc>
          <w:tcPr>
            <w:tcW w:type="dxa" w:w="28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RS-485 isolation</w:t>
            </w:r>
          </w:p>
        </w:tc>
        <w:tc>
          <w:tcPr>
            <w:tcW w:type="dxa" w:w="68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Galvanically isolated RS-485 ⇄ TTL module — protects the controller from ground-potential differences on plant cabling</w:t>
            </w:r>
          </w:p>
        </w:tc>
      </w:tr>
      <w:tr>
        <w:trPr>
          <w:cantSplit/>
          <w:tblHeader w:val="false"/>
        </w:trPr>
        <w:tc>
          <w:tcPr>
            <w:tcW w:type="dxa" w:w="28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ESP32-WROOM-32U</w:t>
            </w:r>
          </w:p>
        </w:tc>
        <w:tc>
          <w:tcPr>
            <w:tcW w:type="dxa" w:w="68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Modbus master, unit conversion, threshold evaluation, MQTT client, setup web server</w:t>
            </w:r>
          </w:p>
        </w:tc>
      </w:tr>
      <w:tr>
        <w:trPr>
          <w:cantSplit/>
          <w:tblHeader w:val="false"/>
        </w:trPr>
        <w:tc>
          <w:tcPr>
            <w:tcW w:type="dxa" w:w="28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Wi-Fi (AP + STA)</w:t>
            </w:r>
          </w:p>
        </w:tc>
        <w:tc>
          <w:tcPr>
            <w:tcW w:type="dxa" w:w="68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Simultaneous setup AP and station connection to the plant network</w:t>
            </w:r>
          </w:p>
        </w:tc>
      </w:tr>
      <w:tr>
        <w:trPr>
          <w:cantSplit/>
          <w:tblHeader w:val="false"/>
        </w:trPr>
        <w:tc>
          <w:tcPr>
            <w:tcW w:type="dxa" w:w="28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MQTT</w:t>
            </w:r>
          </w:p>
        </w:tc>
        <w:tc>
          <w:tcPr>
            <w:tcW w:type="dxa" w:w="68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Normalised JSON published to the VibScope Server</w:t>
            </w:r>
          </w:p>
        </w:tc>
      </w:tr>
    </w:tbl>
    <w:p>
      <w:pPr>
        <w:pStyle w:val="Heading2"/>
        <w:keepNext/>
        <w:keepLines/>
        <w:spacing w:after="120" w:before="280"/>
      </w:pPr>
      <w:r>
        <w:rPr>
          <w:rFonts w:ascii="Avenir Next LT Pro" w:cs="Avenir Next LT Pro" w:eastAsia="Avenir Next LT Pro" w:hAnsi="Avenir Next LT Pro"/>
          <w:b/>
          <w:bCs/>
          <w:color w:val="0F141C"/>
          <w:sz w:val="23"/>
          <w:szCs w:val="23"/>
        </w:rPr>
        <w:t xml:space="preserve">1.3  Power architecture</w:t>
      </w:r>
    </w:p>
    <w:p>
      <w:pPr>
        <w:spacing w:after="120" w:before="0" w:line="276"/>
      </w:pPr>
      <w:r>
        <w:rPr>
          <w:rFonts w:ascii="Avenir Next LT Pro" w:cs="Avenir Next LT Pro" w:eastAsia="Avenir Next LT Pro" w:hAnsi="Avenir Next LT Pro"/>
          <w:color w:val="0F141C"/>
          <w:sz w:val="20"/>
          <w:szCs w:val="20"/>
        </w:rPr>
        <w:t xml:space="preserve">Mains is converted once, then stepped down by a switching regulator. No linear regulator carries the Wi-Fi transmit current — this is a deliberate design decision recorded in §8.2.</w:t>
      </w:r>
    </w:p>
    <w:tbl>
      <w:tblPr>
        <w:tblW w:type="dxa" w:w="9746"/>
        <w:tblBorders>
          <w:top w:val="single" w:color="B8BFC6" w:sz="4"/>
          <w:left w:val="single" w:color="B8BFC6" w:sz="4"/>
          <w:bottom w:val="single" w:color="B8BFC6" w:sz="4"/>
          <w:right w:val="single" w:color="B8BFC6" w:sz="4"/>
          <w:insideH w:val="single" w:color="B8BFC6" w:sz="2"/>
          <w:insideV w:val="single" w:color="B8BFC6" w:sz="2"/>
        </w:tblBorders>
      </w:tblPr>
      <w:tblGrid>
        <w:gridCol w:w="2119"/>
        <w:gridCol w:w="2119"/>
        <w:gridCol w:w="2119"/>
        <w:gridCol w:w="3389"/>
      </w:tblGrid>
      <w:tr>
        <w:trPr>
          <w:cantSplit/>
          <w:tblHeader/>
        </w:trPr>
        <w:tc>
          <w:tcPr>
            <w:tcW w:type="dxa" w:w="2119"/>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Stage</w:t>
            </w:r>
          </w:p>
        </w:tc>
        <w:tc>
          <w:tcPr>
            <w:tcW w:type="dxa" w:w="2119"/>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In</w:t>
            </w:r>
          </w:p>
        </w:tc>
        <w:tc>
          <w:tcPr>
            <w:tcW w:type="dxa" w:w="2119"/>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Out</w:t>
            </w:r>
          </w:p>
        </w:tc>
        <w:tc>
          <w:tcPr>
            <w:tcW w:type="dxa" w:w="3389"/>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Device</w:t>
            </w:r>
          </w:p>
        </w:tc>
      </w:tr>
      <w:tr>
        <w:trPr>
          <w:cantSplit/>
          <w:tblHeader w:val="false"/>
        </w:trPr>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1 — AC/DC</w:t>
            </w:r>
          </w:p>
        </w:tc>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85–264 VAC</w:t>
            </w:r>
          </w:p>
        </w:tc>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12 V, 1.3 A</w:t>
            </w:r>
          </w:p>
        </w:tc>
        <w:tc>
          <w:tcPr>
            <w:tcW w:type="dxa" w:w="338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Mean Well RS-15-12 (15.6 W enclosed)</w:t>
            </w:r>
          </w:p>
        </w:tc>
      </w:tr>
      <w:tr>
        <w:trPr>
          <w:cantSplit/>
          <w:tblHeader w:val="false"/>
        </w:trPr>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2 — DC/DC</w:t>
            </w:r>
          </w:p>
        </w:tc>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12 V</w:t>
            </w:r>
          </w:p>
        </w:tc>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5 V, 1.5 A</w:t>
            </w:r>
          </w:p>
        </w:tc>
        <w:tc>
          <w:tcPr>
            <w:tcW w:type="dxa" w:w="338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Murata OKI-78SR-5/1.5-W36-C (switching, ~90% eff.)</w:t>
            </w:r>
          </w:p>
        </w:tc>
      </w:tr>
      <w:tr>
        <w:trPr>
          <w:cantSplit/>
          <w:tblHeader w:val="false"/>
        </w:trPr>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3 — Logic</w:t>
            </w:r>
          </w:p>
        </w:tc>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5 V</w:t>
            </w:r>
          </w:p>
        </w:tc>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3.3 V</w:t>
            </w:r>
          </w:p>
        </w:tc>
        <w:tc>
          <w:tcPr>
            <w:tcW w:type="dxa" w:w="338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On-module regulator, ESP32 carrier</w:t>
            </w:r>
          </w:p>
        </w:tc>
      </w:tr>
      <w:tr>
        <w:trPr>
          <w:cantSplit/>
          <w:tblHeader w:val="false"/>
        </w:trPr>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Sensor</w:t>
            </w:r>
          </w:p>
        </w:tc>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12 V</w:t>
            </w:r>
          </w:p>
        </w:tc>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12 V</w:t>
            </w:r>
          </w:p>
        </w:tc>
        <w:tc>
          <w:tcPr>
            <w:tcW w:type="dxa" w:w="338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Fed direct from stage 1 via the M12 connector</w:t>
            </w:r>
          </w:p>
        </w:tc>
      </w:tr>
    </w:tbl>
    <w:p>
      <w:r>
        <w:br w:type="page"/>
      </w:r>
    </w:p>
    <w:p>
      <w:pPr>
        <w:pStyle w:val="Heading1"/>
        <w:keepNext/>
        <w:keepLines/>
        <w:pBdr>
          <w:bottom w:val="single" w:color="B8BFC6" w:sz="8" w:space="6"/>
        </w:pBdr>
        <w:spacing w:after="160" w:before="360"/>
      </w:pPr>
      <w:r>
        <w:rPr>
          <w:rFonts w:ascii="Avenir Next LT Pro" w:cs="Avenir Next LT Pro" w:eastAsia="Avenir Next LT Pro" w:hAnsi="Avenir Next LT Pro"/>
          <w:b/>
          <w:bCs/>
          <w:color w:val="0F141C"/>
          <w:sz w:val="28"/>
          <w:szCs w:val="28"/>
        </w:rPr>
        <w:t xml:space="preserve">2.  Mechanical Specification</w:t>
      </w:r>
    </w:p>
    <w:p>
      <w:pPr>
        <w:pStyle w:val="Heading2"/>
        <w:keepNext/>
        <w:keepLines/>
        <w:spacing w:after="120" w:before="280"/>
      </w:pPr>
      <w:r>
        <w:rPr>
          <w:rFonts w:ascii="Avenir Next LT Pro" w:cs="Avenir Next LT Pro" w:eastAsia="Avenir Next LT Pro" w:hAnsi="Avenir Next LT Pro"/>
          <w:b/>
          <w:bCs/>
          <w:color w:val="0F141C"/>
          <w:sz w:val="23"/>
          <w:szCs w:val="23"/>
        </w:rPr>
        <w:t xml:space="preserve">2.1  Printed parts</w:t>
      </w:r>
    </w:p>
    <w:p>
      <w:pPr>
        <w:spacing w:after="120" w:before="0" w:line="276"/>
      </w:pPr>
      <w:r>
        <w:rPr>
          <w:rFonts w:ascii="Avenir Next LT Pro" w:cs="Avenir Next LT Pro" w:eastAsia="Avenir Next LT Pro" w:hAnsi="Avenir Next LT Pro"/>
          <w:color w:val="0F141C"/>
          <w:sz w:val="20"/>
          <w:szCs w:val="20"/>
        </w:rPr>
        <w:t xml:space="preserve">Three printed parts form the enclosure. Dimensions and volumes below are measured directly from the released STL geometry and are the controlling values for print estimation.</w:t>
      </w:r>
    </w:p>
    <w:tbl>
      <w:tblPr>
        <w:tblW w:type="dxa" w:w="9746"/>
        <w:tblBorders>
          <w:top w:val="single" w:color="B8BFC6" w:sz="4"/>
          <w:left w:val="single" w:color="B8BFC6" w:sz="4"/>
          <w:bottom w:val="single" w:color="B8BFC6" w:sz="4"/>
          <w:right w:val="single" w:color="B8BFC6" w:sz="4"/>
          <w:insideH w:val="single" w:color="B8BFC6" w:sz="2"/>
          <w:insideV w:val="single" w:color="B8BFC6" w:sz="2"/>
        </w:tblBorders>
      </w:tblPr>
      <w:tblGrid>
        <w:gridCol w:w="2088"/>
        <w:gridCol w:w="2088"/>
        <w:gridCol w:w="1392"/>
        <w:gridCol w:w="1323"/>
        <w:gridCol w:w="1323"/>
        <w:gridCol w:w="1532"/>
      </w:tblGrid>
      <w:tr>
        <w:trPr>
          <w:cantSplit/>
          <w:tblHeader/>
        </w:trPr>
        <w:tc>
          <w:tcPr>
            <w:tcW w:type="dxa" w:w="2088"/>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Part file</w:t>
            </w:r>
          </w:p>
        </w:tc>
        <w:tc>
          <w:tcPr>
            <w:tcW w:type="dxa" w:w="2088"/>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Bounding box (mm)</w:t>
            </w:r>
          </w:p>
        </w:tc>
        <w:tc>
          <w:tcPr>
            <w:tcW w:type="dxa" w:w="1392"/>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Solid vol.</w:t>
            </w:r>
          </w:p>
        </w:tc>
        <w:tc>
          <w:tcPr>
            <w:tcW w:type="dxa" w:w="1323"/>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Mass @100%</w:t>
            </w:r>
          </w:p>
        </w:tc>
        <w:tc>
          <w:tcPr>
            <w:tcW w:type="dxa" w:w="1323"/>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Mass est.</w:t>
            </w:r>
          </w:p>
        </w:tc>
        <w:tc>
          <w:tcPr>
            <w:tcW w:type="dxa" w:w="1532"/>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Function</w:t>
            </w:r>
          </w:p>
        </w:tc>
      </w:tr>
      <w:tr>
        <w:trPr>
          <w:cantSplit/>
          <w:tblHeader w:val="false"/>
        </w:trPr>
        <w:tc>
          <w:tcPr>
            <w:tcW w:type="dxa" w:w="2088"/>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main.stl</w:t>
            </w:r>
          </w:p>
        </w:tc>
        <w:tc>
          <w:tcPr>
            <w:tcW w:type="dxa" w:w="20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149.0 × 85.0 × 44.5</w:t>
            </w:r>
          </w:p>
        </w:tc>
        <w:tc>
          <w:tcPr>
            <w:tcW w:type="dxa" w:w="139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118.0 cm³</w:t>
            </w:r>
          </w:p>
        </w:tc>
        <w:tc>
          <w:tcPr>
            <w:tcW w:type="dxa" w:w="132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146 g</w:t>
            </w:r>
          </w:p>
        </w:tc>
        <w:tc>
          <w:tcPr>
            <w:tcW w:type="dxa" w:w="132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80 g</w:t>
            </w:r>
          </w:p>
        </w:tc>
        <w:tc>
          <w:tcPr>
            <w:tcW w:type="dxa" w:w="153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Main body, PCB and PSU bay</w:t>
            </w:r>
          </w:p>
        </w:tc>
      </w:tr>
      <w:tr>
        <w:trPr>
          <w:cantSplit/>
          <w:tblHeader w:val="false"/>
        </w:trPr>
        <w:tc>
          <w:tcPr>
            <w:tcW w:type="dxa" w:w="2088"/>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back_cover.stl</w:t>
            </w:r>
          </w:p>
        </w:tc>
        <w:tc>
          <w:tcPr>
            <w:tcW w:type="dxa" w:w="20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141.6 × 77.6 × 3.0</w:t>
            </w:r>
          </w:p>
        </w:tc>
        <w:tc>
          <w:tcPr>
            <w:tcW w:type="dxa" w:w="139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31.8 cm³</w:t>
            </w:r>
          </w:p>
        </w:tc>
        <w:tc>
          <w:tcPr>
            <w:tcW w:type="dxa" w:w="132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39 g</w:t>
            </w:r>
          </w:p>
        </w:tc>
        <w:tc>
          <w:tcPr>
            <w:tcW w:type="dxa" w:w="132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35 g</w:t>
            </w:r>
          </w:p>
        </w:tc>
        <w:tc>
          <w:tcPr>
            <w:tcW w:type="dxa" w:w="153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Rear closure plate</w:t>
            </w:r>
          </w:p>
        </w:tc>
      </w:tr>
      <w:tr>
        <w:trPr>
          <w:cantSplit/>
          <w:tblHeader w:val="false"/>
        </w:trPr>
        <w:tc>
          <w:tcPr>
            <w:tcW w:type="dxa" w:w="2088"/>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psu_cover.stl</w:t>
            </w:r>
          </w:p>
        </w:tc>
        <w:tc>
          <w:tcPr>
            <w:tcW w:type="dxa" w:w="20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64.0 × 72.2 × 31.0</w:t>
            </w:r>
          </w:p>
        </w:tc>
        <w:tc>
          <w:tcPr>
            <w:tcW w:type="dxa" w:w="139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15.3 cm³</w:t>
            </w:r>
          </w:p>
        </w:tc>
        <w:tc>
          <w:tcPr>
            <w:tcW w:type="dxa" w:w="132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19 g</w:t>
            </w:r>
          </w:p>
        </w:tc>
        <w:tc>
          <w:tcPr>
            <w:tcW w:type="dxa" w:w="132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10 g</w:t>
            </w:r>
          </w:p>
        </w:tc>
        <w:tc>
          <w:tcPr>
            <w:tcW w:type="dxa" w:w="153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PSU shroud — mains touch guard</w:t>
            </w:r>
          </w:p>
        </w:tc>
      </w:tr>
      <w:tr>
        <w:trPr>
          <w:cantSplit/>
          <w:tblHeader w:val="false"/>
        </w:trPr>
        <w:tc>
          <w:tcPr>
            <w:tcW w:type="dxa" w:w="20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TOTAL</w:t>
            </w:r>
          </w:p>
        </w:tc>
        <w:tc>
          <w:tcPr>
            <w:tcW w:type="dxa" w:w="20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139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165.1 cm³</w:t>
            </w:r>
          </w:p>
        </w:tc>
        <w:tc>
          <w:tcPr>
            <w:tcW w:type="dxa" w:w="132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204 g</w:t>
            </w:r>
          </w:p>
        </w:tc>
        <w:tc>
          <w:tcPr>
            <w:tcW w:type="dxa" w:w="132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 126 g</w:t>
            </w:r>
          </w:p>
        </w:tc>
        <w:tc>
          <w:tcPr>
            <w:tcW w:type="dxa" w:w="153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per node</w:t>
            </w:r>
          </w:p>
        </w:tc>
      </w:tr>
    </w:tbl>
    <w:p>
      <w:pPr>
        <w:spacing w:after="120" w:before="0" w:line="276"/>
      </w:pPr>
      <w:r>
        <w:rPr>
          <w:rFonts w:ascii="Avenir Next LT Pro" w:cs="Avenir Next LT Pro" w:eastAsia="Avenir Next LT Pro" w:hAnsi="Avenir Next LT Pro"/>
          <w:i/>
          <w:iCs/>
          <w:color w:val="5F7388"/>
          <w:sz w:val="18"/>
          <w:szCs w:val="18"/>
        </w:rPr>
        <w:t xml:space="preserve">Mass estimate assumes HT-PLA at 1.24 g/cm³, 35% infill with solid walls for the body and shroud, and a near-solid 3 mm plate for the cover. A 1 kg spool yields approximately 7.9 node sets before purge and waste.</w:t>
      </w:r>
    </w:p>
    <w:p>
      <w:pPr>
        <w:pStyle w:val="Heading2"/>
        <w:keepNext/>
        <w:keepLines/>
        <w:spacing w:after="120" w:before="280"/>
      </w:pPr>
      <w:r>
        <w:rPr>
          <w:rFonts w:ascii="Avenir Next LT Pro" w:cs="Avenir Next LT Pro" w:eastAsia="Avenir Next LT Pro" w:hAnsi="Avenir Next LT Pro"/>
          <w:b/>
          <w:bCs/>
          <w:color w:val="0F141C"/>
          <w:sz w:val="23"/>
          <w:szCs w:val="23"/>
        </w:rPr>
        <w:t xml:space="preserve">2.2  Print process</w:t>
      </w:r>
    </w:p>
    <w:tbl>
      <w:tblPr>
        <w:tblW w:type="dxa" w:w="9746"/>
        <w:tblBorders>
          <w:top w:val="single" w:color="B8BFC6" w:sz="4"/>
          <w:left w:val="single" w:color="B8BFC6" w:sz="4"/>
          <w:bottom w:val="single" w:color="B8BFC6" w:sz="4"/>
          <w:right w:val="single" w:color="B8BFC6" w:sz="4"/>
          <w:insideH w:val="single" w:color="B8BFC6" w:sz="2"/>
          <w:insideV w:val="single" w:color="B8BFC6" w:sz="2"/>
        </w:tblBorders>
      </w:tblPr>
      <w:tblGrid>
        <w:gridCol w:w="2215"/>
        <w:gridCol w:w="3101"/>
        <w:gridCol w:w="4430"/>
      </w:tblGrid>
      <w:tr>
        <w:trPr>
          <w:cantSplit/>
          <w:tblHeader/>
        </w:trPr>
        <w:tc>
          <w:tcPr>
            <w:tcW w:type="dxa" w:w="2215"/>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Parameter</w:t>
            </w:r>
          </w:p>
        </w:tc>
        <w:tc>
          <w:tcPr>
            <w:tcW w:type="dxa" w:w="3101"/>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Setting</w:t>
            </w:r>
          </w:p>
        </w:tc>
        <w:tc>
          <w:tcPr>
            <w:tcW w:type="dxa" w:w="4430"/>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Rationale</w:t>
            </w:r>
          </w:p>
        </w:tc>
      </w:tr>
      <w:tr>
        <w:trPr>
          <w:cantSplit/>
          <w:tblHeader w:val="false"/>
        </w:trPr>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Material</w:t>
            </w:r>
          </w:p>
        </w:tc>
        <w:tc>
          <w:tcPr>
            <w:tcW w:type="dxa" w:w="310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HT-PLA Artisan 3D, Grey</w:t>
            </w:r>
          </w:p>
        </w:tc>
        <w:tc>
          <w:tcPr>
            <w:tcW w:type="dxa" w:w="443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Elevated heat deflection over standard PLA — required for an enclosure containing a mains PSU</w:t>
            </w:r>
          </w:p>
        </w:tc>
      </w:tr>
      <w:tr>
        <w:trPr>
          <w:cantSplit/>
          <w:tblHeader w:val="false"/>
        </w:trPr>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Nozzle</w:t>
            </w:r>
          </w:p>
        </w:tc>
        <w:tc>
          <w:tcPr>
            <w:tcW w:type="dxa" w:w="310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0.4 mm</w:t>
            </w:r>
          </w:p>
        </w:tc>
        <w:tc>
          <w:tcPr>
            <w:tcW w:type="dxa" w:w="443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Standard; resolves the M2 boss walls</w:t>
            </w:r>
          </w:p>
        </w:tc>
      </w:tr>
      <w:tr>
        <w:trPr>
          <w:cantSplit/>
          <w:tblHeader w:val="false"/>
        </w:trPr>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Layer height</w:t>
            </w:r>
          </w:p>
        </w:tc>
        <w:tc>
          <w:tcPr>
            <w:tcW w:type="dxa" w:w="310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0.20 mm</w:t>
            </w:r>
          </w:p>
        </w:tc>
        <w:tc>
          <w:tcPr>
            <w:tcW w:type="dxa" w:w="443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Balance of strength and time</w:t>
            </w:r>
          </w:p>
        </w:tc>
      </w:tr>
      <w:tr>
        <w:trPr>
          <w:cantSplit/>
          <w:tblHeader w:val="false"/>
        </w:trPr>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Walls / top / bottom</w:t>
            </w:r>
          </w:p>
        </w:tc>
        <w:tc>
          <w:tcPr>
            <w:tcW w:type="dxa" w:w="310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3 / 5 / 5</w:t>
            </w:r>
          </w:p>
        </w:tc>
        <w:tc>
          <w:tcPr>
            <w:tcW w:type="dxa" w:w="443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Wall count governs insert pull-out strength, not infill</w:t>
            </w:r>
          </w:p>
        </w:tc>
      </w:tr>
      <w:tr>
        <w:trPr>
          <w:cantSplit/>
          <w:tblHeader w:val="false"/>
        </w:trPr>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Infill</w:t>
            </w:r>
          </w:p>
        </w:tc>
        <w:tc>
          <w:tcPr>
            <w:tcW w:type="dxa" w:w="310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35% gyroid</w:t>
            </w:r>
          </w:p>
        </w:tc>
        <w:tc>
          <w:tcPr>
            <w:tcW w:type="dxa" w:w="443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Isotropic; adequate for a non-structural enclosure</w:t>
            </w:r>
          </w:p>
        </w:tc>
      </w:tr>
      <w:tr>
        <w:trPr>
          <w:cantSplit/>
          <w:tblHeader w:val="false"/>
        </w:trPr>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Annealing</w:t>
            </w:r>
          </w:p>
        </w:tc>
        <w:tc>
          <w:tcPr>
            <w:tcW w:type="dxa" w:w="310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Per filament data sheet</w:t>
            </w:r>
          </w:p>
        </w:tc>
        <w:tc>
          <w:tcPr>
            <w:tcW w:type="dxa" w:w="443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Required to realise the HT temperature rating — confirm before field deployment</w:t>
            </w:r>
          </w:p>
        </w:tc>
      </w:tr>
    </w:tbl>
    <w:tbl>
      <w:tblPr>
        <w:tblW w:type="dxa" w:w="9746"/>
        <w:tblBorders>
          <w:top w:val="single" w:color="95433D" w:sz="4"/>
          <w:left w:val="single" w:color="95433D" w:sz="18"/>
          <w:bottom w:val="single" w:color="95433D" w:sz="4"/>
          <w:right w:val="single" w:color="95433D" w:sz="4"/>
          <w:insideH w:val="none"/>
          <w:insideV w:val="none"/>
        </w:tblBorders>
      </w:tblPr>
      <w:tblGrid>
        <w:gridCol w:w="9746"/>
      </w:tblGrid>
      <w:tr>
        <w:trPr>
          <w:cantSplit/>
        </w:trPr>
        <w:tc>
          <w:tcPr>
            <w:tcW w:type="dxa" w:w="9746"/>
            <w:shd w:fill="F8F2F1" w:color="auto" w:val="clear"/>
            <w:tcMar>
              <w:top w:type="dxa" w:w="120"/>
              <w:left w:type="dxa" w:w="160"/>
              <w:bottom w:type="dxa" w:w="120"/>
              <w:right w:type="dxa" w:w="160"/>
            </w:tcMar>
          </w:tcPr>
          <w:p>
            <w:pPr>
              <w:spacing w:after="60"/>
            </w:pPr>
            <w:r>
              <w:rPr>
                <w:rFonts w:ascii="Avenir Next LT Pro" w:cs="Avenir Next LT Pro" w:eastAsia="Avenir Next LT Pro" w:hAnsi="Avenir Next LT Pro"/>
                <w:b/>
                <w:bCs/>
                <w:color w:val="95433D"/>
                <w:sz w:val="19"/>
                <w:szCs w:val="19"/>
              </w:rPr>
              <w:t xml:space="preserve">OPEN ITEM — PRINT ORIENTATION</w:t>
            </w:r>
          </w:p>
          <w:p>
            <w:pPr>
              <w:spacing w:after="60" w:line="264"/>
            </w:pPr>
            <w:r>
              <w:rPr>
                <w:rFonts w:ascii="Avenir Next LT Pro" w:cs="Avenir Next LT Pro" w:eastAsia="Avenir Next LT Pro" w:hAnsi="Avenir Next LT Pro"/>
                <w:color w:val="0F141C"/>
                <w:sz w:val="19"/>
                <w:szCs w:val="19"/>
              </w:rPr>
              <w:t xml:space="preserve">Print orientation and support strategy for each part are not yet fixed and are the largest source of unit-to-unit variation. They must be determined, recorded here, and frozen before series production.</w:t>
            </w:r>
          </w:p>
          <w:p>
            <w:pPr>
              <w:spacing w:after="60" w:line="264"/>
            </w:pPr>
            <w:r>
              <w:rPr>
                <w:rFonts w:ascii="Avenir Next LT Pro" w:cs="Avenir Next LT Pro" w:eastAsia="Avenir Next LT Pro" w:hAnsi="Avenir Next LT Pro"/>
                <w:color w:val="0F141C"/>
                <w:sz w:val="19"/>
                <w:szCs w:val="19"/>
              </w:rPr>
              <w:t xml:space="preserve">Particular attention: the PG11 gland boss and the M12 connector boss must not be printed on support in a way that degrades thread engagement or the IP seal face.</w:t>
            </w:r>
          </w:p>
        </w:tc>
      </w:tr>
    </w:tbl>
    <w:p>
      <w:pPr>
        <w:pStyle w:val="Heading2"/>
        <w:keepNext/>
        <w:keepLines/>
        <w:spacing w:after="120" w:before="280"/>
      </w:pPr>
      <w:r>
        <w:rPr>
          <w:rFonts w:ascii="Avenir Next LT Pro" w:cs="Avenir Next LT Pro" w:eastAsia="Avenir Next LT Pro" w:hAnsi="Avenir Next LT Pro"/>
          <w:b/>
          <w:bCs/>
          <w:color w:val="0F141C"/>
          <w:sz w:val="23"/>
          <w:szCs w:val="23"/>
        </w:rPr>
        <w:t xml:space="preserve">2.3  Threaded inserts and fasteners</w:t>
      </w:r>
    </w:p>
    <w:tbl>
      <w:tblPr>
        <w:tblW w:type="dxa" w:w="9746"/>
        <w:tblBorders>
          <w:top w:val="single" w:color="B8BFC6" w:sz="4"/>
          <w:left w:val="single" w:color="B8BFC6" w:sz="4"/>
          <w:bottom w:val="single" w:color="B8BFC6" w:sz="4"/>
          <w:right w:val="single" w:color="B8BFC6" w:sz="4"/>
          <w:insideH w:val="single" w:color="B8BFC6" w:sz="2"/>
          <w:insideV w:val="single" w:color="B8BFC6" w:sz="2"/>
        </w:tblBorders>
      </w:tblPr>
      <w:tblGrid>
        <w:gridCol w:w="3110"/>
        <w:gridCol w:w="1659"/>
        <w:gridCol w:w="4977"/>
      </w:tblGrid>
      <w:tr>
        <w:trPr>
          <w:cantSplit/>
          <w:tblHeader w:val="false"/>
        </w:trPr>
        <w:tc>
          <w:tcPr>
            <w:tcW w:type="dxa" w:w="3110"/>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Item</w:t>
            </w:r>
          </w:p>
        </w:tc>
        <w:tc>
          <w:tcPr>
            <w:tcW w:type="dxa" w:w="1659"/>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Qty</w:t>
            </w:r>
          </w:p>
        </w:tc>
        <w:tc>
          <w:tcPr>
            <w:tcW w:type="dxa" w:w="4977"/>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Application</w:t>
            </w:r>
          </w:p>
        </w:tc>
      </w:tr>
      <w:tr>
        <w:trPr>
          <w:cantSplit/>
          <w:tblHeader w:val="false"/>
        </w:trPr>
        <w:tc>
          <w:tcPr>
            <w:tcW w:type="dxa" w:w="311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Brass insert M2 × 3 × 4 mm</w:t>
            </w:r>
          </w:p>
        </w:tc>
        <w:tc>
          <w:tcPr>
            <w:tcW w:type="dxa" w:w="165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95433D"/>
                <w:sz w:val="18"/>
                <w:szCs w:val="18"/>
              </w:rPr>
              <w:t xml:space="preserve">TBC</w:t>
            </w:r>
          </w:p>
        </w:tc>
        <w:tc>
          <w:tcPr>
            <w:tcW w:type="dxa" w:w="497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Heat-set into printed bosses to receive the M2 screws. Quantity must equal the number of M2 screw locations — see open item below</w:t>
            </w:r>
          </w:p>
        </w:tc>
      </w:tr>
      <w:tr>
        <w:trPr>
          <w:cantSplit/>
          <w:tblHeader w:val="false"/>
        </w:trPr>
        <w:tc>
          <w:tcPr>
            <w:tcW w:type="dxa" w:w="311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M2 × 5 mm screw</w:t>
            </w:r>
          </w:p>
        </w:tc>
        <w:tc>
          <w:tcPr>
            <w:tcW w:type="dxa" w:w="165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14</w:t>
            </w:r>
          </w:p>
        </w:tc>
        <w:tc>
          <w:tcPr>
            <w:tcW w:type="dxa" w:w="497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PCB mounting, back cover, PSU cover</w:t>
            </w:r>
          </w:p>
        </w:tc>
      </w:tr>
      <w:tr>
        <w:trPr>
          <w:cantSplit/>
          <w:tblHeader w:val="false"/>
        </w:trPr>
        <w:tc>
          <w:tcPr>
            <w:tcW w:type="dxa" w:w="311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M3 × 4 mm screw</w:t>
            </w:r>
          </w:p>
        </w:tc>
        <w:tc>
          <w:tcPr>
            <w:tcW w:type="dxa" w:w="165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2</w:t>
            </w:r>
          </w:p>
        </w:tc>
        <w:tc>
          <w:tcPr>
            <w:tcW w:type="dxa" w:w="497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PSU chassis fixing</w:t>
            </w:r>
          </w:p>
        </w:tc>
      </w:tr>
    </w:tbl>
    <w:tbl>
      <w:tblPr>
        <w:tblW w:type="dxa" w:w="9746"/>
        <w:tblBorders>
          <w:top w:val="single" w:color="95433D" w:sz="4"/>
          <w:left w:val="single" w:color="95433D" w:sz="18"/>
          <w:bottom w:val="single" w:color="95433D" w:sz="4"/>
          <w:right w:val="single" w:color="95433D" w:sz="4"/>
          <w:insideH w:val="none"/>
          <w:insideV w:val="none"/>
        </w:tblBorders>
      </w:tblPr>
      <w:tblGrid>
        <w:gridCol w:w="9746"/>
      </w:tblGrid>
      <w:tr>
        <w:trPr>
          <w:cantSplit/>
        </w:trPr>
        <w:tc>
          <w:tcPr>
            <w:tcW w:type="dxa" w:w="9746"/>
            <w:shd w:fill="F8F2F1" w:color="auto" w:val="clear"/>
            <w:tcMar>
              <w:top w:type="dxa" w:w="120"/>
              <w:left w:type="dxa" w:w="160"/>
              <w:bottom w:type="dxa" w:w="120"/>
              <w:right w:type="dxa" w:w="160"/>
            </w:tcMar>
          </w:tcPr>
          <w:p>
            <w:pPr>
              <w:spacing w:after="60"/>
            </w:pPr>
            <w:r>
              <w:rPr>
                <w:rFonts w:ascii="Avenir Next LT Pro" w:cs="Avenir Next LT Pro" w:eastAsia="Avenir Next LT Pro" w:hAnsi="Avenir Next LT Pro"/>
                <w:b/>
                <w:bCs/>
                <w:color w:val="95433D"/>
                <w:sz w:val="19"/>
                <w:szCs w:val="19"/>
              </w:rPr>
              <w:t xml:space="preserve">OPEN ITEM — INSERT QUANTITY</w:t>
            </w:r>
          </w:p>
          <w:p>
            <w:pPr>
              <w:spacing w:after="60" w:line="264"/>
            </w:pPr>
            <w:r>
              <w:rPr>
                <w:rFonts w:ascii="Avenir Next LT Pro" w:cs="Avenir Next LT Pro" w:eastAsia="Avenir Next LT Pro" w:hAnsi="Avenir Next LT Pro"/>
                <w:color w:val="0F141C"/>
                <w:sz w:val="19"/>
                <w:szCs w:val="19"/>
              </w:rPr>
              <w:t xml:space="preserve">The brass insert quantity was not specified in the source build list. Fourteen M2 screws are called for; unless some thread directly into printed plastic, fourteen inserts are implied.</w:t>
            </w:r>
          </w:p>
          <w:p>
            <w:pPr>
              <w:spacing w:after="60" w:line="264"/>
            </w:pPr>
            <w:r>
              <w:rPr>
                <w:rFonts w:ascii="Avenir Next LT Pro" w:cs="Avenir Next LT Pro" w:eastAsia="Avenir Next LT Pro" w:hAnsi="Avenir Next LT Pro"/>
                <w:color w:val="0F141C"/>
                <w:sz w:val="19"/>
                <w:szCs w:val="19"/>
              </w:rPr>
              <w:t xml:space="preserve">Confirm the count and the per-location breakdown, then replace the TBC above. This directly affects kitting.</w:t>
            </w:r>
          </w:p>
        </w:tc>
      </w:tr>
    </w:tbl>
    <w:p>
      <w:pPr>
        <w:pStyle w:val="Heading1"/>
        <w:keepNext/>
        <w:keepLines/>
        <w:pBdr>
          <w:bottom w:val="single" w:color="B8BFC6" w:sz="8" w:space="6"/>
        </w:pBdr>
        <w:spacing w:after="160" w:before="360"/>
      </w:pPr>
      <w:r>
        <w:rPr>
          <w:rFonts w:ascii="Avenir Next LT Pro" w:cs="Avenir Next LT Pro" w:eastAsia="Avenir Next LT Pro" w:hAnsi="Avenir Next LT Pro"/>
          <w:b/>
          <w:bCs/>
          <w:color w:val="0F141C"/>
          <w:sz w:val="28"/>
          <w:szCs w:val="28"/>
        </w:rPr>
        <w:t xml:space="preserve">3.  Bill of Materials</w:t>
      </w:r>
    </w:p>
    <w:p>
      <w:pPr>
        <w:spacing w:after="120" w:before="0" w:line="276"/>
      </w:pPr>
      <w:r>
        <w:rPr>
          <w:rFonts w:ascii="Avenir Next LT Pro" w:cs="Avenir Next LT Pro" w:eastAsia="Avenir Next LT Pro" w:hAnsi="Avenir Next LT Pro"/>
          <w:color w:val="0F141C"/>
          <w:sz w:val="20"/>
          <w:szCs w:val="20"/>
        </w:rPr>
        <w:t xml:space="preserve">Quantities are per single node. Cost columns are intentionally unpopulated — see the note following the table.</w:t>
      </w:r>
    </w:p>
    <w:tbl>
      <w:tblPr>
        <w:tblW w:type="dxa" w:w="9746"/>
        <w:tblBorders>
          <w:top w:val="single" w:color="B8BFC6" w:sz="4"/>
          <w:left w:val="single" w:color="B8BFC6" w:sz="4"/>
          <w:bottom w:val="single" w:color="B8BFC6" w:sz="4"/>
          <w:right w:val="single" w:color="B8BFC6" w:sz="4"/>
          <w:insideH w:val="single" w:color="B8BFC6" w:sz="2"/>
          <w:insideV w:val="single" w:color="B8BFC6" w:sz="2"/>
        </w:tblBorders>
      </w:tblPr>
      <w:tblGrid>
        <w:gridCol w:w="512"/>
        <w:gridCol w:w="2680"/>
        <w:gridCol w:w="2558"/>
        <w:gridCol w:w="877"/>
        <w:gridCol w:w="1194"/>
        <w:gridCol w:w="962"/>
        <w:gridCol w:w="963"/>
      </w:tblGrid>
      <w:tr>
        <w:trPr>
          <w:cantSplit/>
          <w:tblHeader/>
        </w:trPr>
        <w:tc>
          <w:tcPr>
            <w:tcW w:type="dxa" w:w="512"/>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w:t>
            </w:r>
          </w:p>
        </w:tc>
        <w:tc>
          <w:tcPr>
            <w:tcW w:type="dxa" w:w="2680"/>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Item</w:t>
            </w:r>
          </w:p>
        </w:tc>
        <w:tc>
          <w:tcPr>
            <w:tcW w:type="dxa" w:w="2558"/>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Specification</w:t>
            </w:r>
          </w:p>
        </w:tc>
        <w:tc>
          <w:tcPr>
            <w:tcW w:type="dxa" w:w="877"/>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Qty</w:t>
            </w:r>
          </w:p>
        </w:tc>
        <w:tc>
          <w:tcPr>
            <w:tcW w:type="dxa" w:w="1194"/>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Source</w:t>
            </w:r>
          </w:p>
        </w:tc>
        <w:tc>
          <w:tcPr>
            <w:tcW w:type="dxa" w:w="962"/>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Unit Cost</w:t>
            </w:r>
          </w:p>
        </w:tc>
        <w:tc>
          <w:tcPr>
            <w:tcW w:type="dxa" w:w="963"/>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Ext. Cost</w:t>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Filament, HT-PLA</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Artisan 3D HT-PLA, Grey — ≈126 g per node</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≈126 g</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Artisan 3D</w:t>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2</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PCB</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Custom VibScope carrier, designed in EasyEDA</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PCBWay</w:t>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3</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ESP32 module</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ESP32-WROOM-32U (U.FL external antenna variant)</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See §3.1</w:t>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4</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USB-UART bridge</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CP2102-class USB-to-UART interface</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See §3.1</w:t>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5</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Antenna</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2.4 GHz antenna with U.FL / IPEX lead for WROOM-32U</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6</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Power supply</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Mean Well RS-15-12 — 12 V, 1.3 A, 15.6 W enclosed</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Mean Well</w:t>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7</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DC-DC converter</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Murata OKI-78SR-5/1.5-W36-C — 7–36 Vin, 5 V 1.5 A</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Murata</w:t>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8</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RS-485 interface</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Industrial isolated TTL ⇄ RS-485 module (MCU UART)</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Shopee MY</w:t>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9</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Cable gland</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PG11, stainless steel — mains entry</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10</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Mains cable</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Fajar 1 mm² 3-core (L / N / E)</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A/R</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Fajar</w:t>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11</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M12 connector, panel</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M12 4-pin — sensor interface at the enclosure</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12</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M12 connector, cable</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M12 4-pin female — sensor cable termination</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13</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Header, 19-pin</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2.54 mm female header, 19-way</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2</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14</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Header, 4-pin</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2.54 mm female header, 4-way</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2</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15</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Header pins</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2.54 mm male pin header</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A/R</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16</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Terminal block, 4-way</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5.00 mm pitch, 4 positions</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17</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Terminal block, 2-way</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5.00 mm pitch, 2 positions</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18</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Threaded insert</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Brass heat-set, M2 × 3 × 4 mm</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TBC</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19</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Screw</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M2 × 5 mm</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14</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20</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Screw</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M3 × 4 mm</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2</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7309"/>
            <w:gridSpan w:val="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TOTAL MATERIAL COST</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87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bl>
    <w:tbl>
      <w:tblPr>
        <w:tblW w:type="dxa" w:w="9746"/>
        <w:tblBorders>
          <w:top w:val="single" w:color="95433D" w:sz="4"/>
          <w:left w:val="single" w:color="95433D" w:sz="18"/>
          <w:bottom w:val="single" w:color="95433D" w:sz="4"/>
          <w:right w:val="single" w:color="95433D" w:sz="4"/>
          <w:insideH w:val="none"/>
          <w:insideV w:val="none"/>
        </w:tblBorders>
      </w:tblPr>
      <w:tblGrid>
        <w:gridCol w:w="9746"/>
      </w:tblGrid>
      <w:tr>
        <w:trPr>
          <w:cantSplit/>
        </w:trPr>
        <w:tc>
          <w:tcPr>
            <w:tcW w:type="dxa" w:w="9746"/>
            <w:shd w:fill="F8F2F1" w:color="auto" w:val="clear"/>
            <w:tcMar>
              <w:top w:type="dxa" w:w="120"/>
              <w:left w:type="dxa" w:w="160"/>
              <w:bottom w:type="dxa" w:w="120"/>
              <w:right w:type="dxa" w:w="160"/>
            </w:tcMar>
          </w:tcPr>
          <w:p>
            <w:pPr>
              <w:spacing w:after="60"/>
            </w:pPr>
            <w:r>
              <w:rPr>
                <w:rFonts w:ascii="Avenir Next LT Pro" w:cs="Avenir Next LT Pro" w:eastAsia="Avenir Next LT Pro" w:hAnsi="Avenir Next LT Pro"/>
                <w:b/>
                <w:bCs/>
                <w:color w:val="95433D"/>
                <w:sz w:val="19"/>
                <w:szCs w:val="19"/>
              </w:rPr>
              <w:t xml:space="preserve">COSTING — NOT POPULATED, AND WHY</w:t>
            </w:r>
          </w:p>
          <w:p>
            <w:pPr>
              <w:spacing w:after="60" w:line="264"/>
            </w:pPr>
            <w:r>
              <w:rPr>
                <w:rFonts w:ascii="Avenir Next LT Pro" w:cs="Avenir Next LT Pro" w:eastAsia="Avenir Next LT Pro" w:hAnsi="Avenir Next LT Pro"/>
                <w:color w:val="0F141C"/>
                <w:sz w:val="19"/>
                <w:szCs w:val="19"/>
              </w:rPr>
              <w:t xml:space="preserve">Unit costs were researched and deliberately left blank rather than estimated. Most of this bill is sourced through Malaysian marketplace channels (Shopee, Lazada) where pricing is seller-specific, changes continuously, and is not reliably retrievable. Distributor pricing for the branded parts is quantity-tiered and region-dependent.</w:t>
            </w:r>
          </w:p>
          <w:p>
            <w:pPr>
              <w:spacing w:after="60" w:line="264"/>
            </w:pPr>
            <w:r>
              <w:rPr>
                <w:rFonts w:ascii="Avenir Next LT Pro" w:cs="Avenir Next LT Pro" w:eastAsia="Avenir Next LT Pro" w:hAnsi="Avenir Next LT Pro"/>
                <w:color w:val="0F141C"/>
                <w:sz w:val="19"/>
                <w:szCs w:val="19"/>
              </w:rPr>
              <w:t xml:space="preserve">The only figure obtained with a traceable source was the Murata OKI-78SR-5/1.5-W36-C at approximately USD 4.97 single-unit at DigiKey, and even that conflicted with a second listing at USD 5.66.</w:t>
            </w:r>
          </w:p>
          <w:p>
            <w:pPr>
              <w:spacing w:after="60" w:line="264"/>
            </w:pPr>
            <w:r>
              <w:rPr>
                <w:rFonts w:ascii="Avenir Next LT Pro" w:cs="Avenir Next LT Pro" w:eastAsia="Avenir Next LT Pro" w:hAnsi="Avenir Next LT Pro"/>
                <w:color w:val="0F141C"/>
                <w:sz w:val="19"/>
                <w:szCs w:val="19"/>
              </w:rPr>
              <w:t xml:space="preserve">Populating this table with invented numbers would be worse than leaving it empty: quotations, margin and pricing decisions would be built on fiction. Enter your actual purchase-order prices, record the currency and the date, and treat the table as the controlled cost record from that point.</w:t>
            </w:r>
          </w:p>
        </w:tc>
      </w:tr>
    </w:tbl>
    <w:p>
      <w:pPr>
        <w:pStyle w:val="Heading2"/>
        <w:keepNext/>
        <w:keepLines/>
        <w:spacing w:after="120" w:before="280"/>
      </w:pPr>
      <w:r>
        <w:rPr>
          <w:rFonts w:ascii="Avenir Next LT Pro" w:cs="Avenir Next LT Pro" w:eastAsia="Avenir Next LT Pro" w:hAnsi="Avenir Next LT Pro"/>
          <w:b/>
          <w:bCs/>
          <w:color w:val="0F141C"/>
          <w:sz w:val="23"/>
          <w:szCs w:val="23"/>
        </w:rPr>
        <w:t xml:space="preserve">3.1  Sourcing note — ESP32 module and UART bridge</w:t>
      </w:r>
    </w:p>
    <w:p>
      <w:pPr>
        <w:spacing w:after="120" w:before="0" w:line="276"/>
      </w:pPr>
      <w:r>
        <w:rPr>
          <w:rFonts w:ascii="Avenir Next LT Pro" w:cs="Avenir Next LT Pro" w:eastAsia="Avenir Next LT Pro" w:hAnsi="Avenir Next LT Pro"/>
          <w:color w:val="0F141C"/>
          <w:sz w:val="20"/>
          <w:szCs w:val="20"/>
        </w:rPr>
        <w:t xml:space="preserve">The source build list specifies "ESP32U with C2012 UART chipset". "C2012" does not correspond to a known USB-UART part; the intended device is most likely the CP2102 (Silicon Labs) or possibly the CH340-series. This has been recorded as items 3 and 4 pending confirmation.</w:t>
      </w:r>
    </w:p>
    <w:tbl>
      <w:tblPr>
        <w:tblW w:type="dxa" w:w="9746"/>
        <w:tblBorders>
          <w:top w:val="single" w:color="95433D" w:sz="4"/>
          <w:left w:val="single" w:color="95433D" w:sz="18"/>
          <w:bottom w:val="single" w:color="95433D" w:sz="4"/>
          <w:right w:val="single" w:color="95433D" w:sz="4"/>
          <w:insideH w:val="none"/>
          <w:insideV w:val="none"/>
        </w:tblBorders>
      </w:tblPr>
      <w:tblGrid>
        <w:gridCol w:w="9746"/>
      </w:tblGrid>
      <w:tr>
        <w:trPr>
          <w:cantSplit/>
        </w:trPr>
        <w:tc>
          <w:tcPr>
            <w:tcW w:type="dxa" w:w="9746"/>
            <w:shd w:fill="F8F2F1" w:color="auto" w:val="clear"/>
            <w:tcMar>
              <w:top w:type="dxa" w:w="120"/>
              <w:left w:type="dxa" w:w="160"/>
              <w:bottom w:type="dxa" w:w="120"/>
              <w:right w:type="dxa" w:w="160"/>
            </w:tcMar>
          </w:tcPr>
          <w:p>
            <w:pPr>
              <w:spacing w:after="60"/>
            </w:pPr>
            <w:r>
              <w:rPr>
                <w:rFonts w:ascii="Avenir Next LT Pro" w:cs="Avenir Next LT Pro" w:eastAsia="Avenir Next LT Pro" w:hAnsi="Avenir Next LT Pro"/>
                <w:b/>
                <w:bCs/>
                <w:color w:val="95433D"/>
                <w:sz w:val="19"/>
                <w:szCs w:val="19"/>
              </w:rPr>
              <w:t xml:space="preserve">OPEN ITEM — UART BRIDGE PART NUMBER</w:t>
            </w:r>
          </w:p>
          <w:p>
            <w:pPr>
              <w:spacing w:after="60" w:line="264"/>
            </w:pPr>
            <w:r>
              <w:rPr>
                <w:rFonts w:ascii="Avenir Next LT Pro" w:cs="Avenir Next LT Pro" w:eastAsia="Avenir Next LT Pro" w:hAnsi="Avenir Next LT Pro"/>
                <w:color w:val="0F141C"/>
                <w:sz w:val="19"/>
                <w:szCs w:val="19"/>
              </w:rPr>
              <w:t xml:space="preserve">Confirm the exact USB-UART bridge part number and mark up items 3 and 4. This matters beyond bookkeeping: the driver the production PC needs, and the auto-reset behaviour during flashing, both depend on which bridge is fitted.</w:t>
            </w:r>
          </w:p>
        </w:tc>
      </w:tr>
    </w:tbl>
    <w:p>
      <w:pPr>
        <w:pStyle w:val="Heading1"/>
        <w:keepNext/>
        <w:keepLines/>
        <w:pBdr>
          <w:bottom w:val="single" w:color="B8BFC6" w:sz="8" w:space="6"/>
        </w:pBdr>
        <w:spacing w:after="160" w:before="360"/>
      </w:pPr>
      <w:r>
        <w:rPr>
          <w:rFonts w:ascii="Avenir Next LT Pro" w:cs="Avenir Next LT Pro" w:eastAsia="Avenir Next LT Pro" w:hAnsi="Avenir Next LT Pro"/>
          <w:b/>
          <w:bCs/>
          <w:color w:val="0F141C"/>
          <w:sz w:val="28"/>
          <w:szCs w:val="28"/>
        </w:rPr>
        <w:t xml:space="preserve">4.  Electrical Interfaces</w:t>
      </w:r>
    </w:p>
    <w:p>
      <w:pPr>
        <w:pStyle w:val="Heading2"/>
        <w:keepNext/>
        <w:keepLines/>
        <w:spacing w:after="120" w:before="280"/>
      </w:pPr>
      <w:r>
        <w:rPr>
          <w:rFonts w:ascii="Avenir Next LT Pro" w:cs="Avenir Next LT Pro" w:eastAsia="Avenir Next LT Pro" w:hAnsi="Avenir Next LT Pro"/>
          <w:b/>
          <w:bCs/>
          <w:color w:val="0F141C"/>
          <w:sz w:val="23"/>
          <w:szCs w:val="23"/>
        </w:rPr>
        <w:t xml:space="preserve">4.1  Mains entry</w:t>
      </w:r>
    </w:p>
    <w:tbl>
      <w:tblPr>
        <w:tblW w:type="dxa" w:w="9746"/>
        <w:tblBorders>
          <w:top w:val="single" w:color="B8BFC6" w:sz="4"/>
          <w:left w:val="single" w:color="B8BFC6" w:sz="4"/>
          <w:bottom w:val="single" w:color="B8BFC6" w:sz="4"/>
          <w:right w:val="single" w:color="B8BFC6" w:sz="4"/>
          <w:insideH w:val="single" w:color="B8BFC6" w:sz="2"/>
          <w:insideV w:val="single" w:color="B8BFC6" w:sz="2"/>
        </w:tblBorders>
      </w:tblPr>
      <w:tblGrid>
        <w:gridCol w:w="2437"/>
        <w:gridCol w:w="2437"/>
        <w:gridCol w:w="4872"/>
      </w:tblGrid>
      <w:tr>
        <w:trPr>
          <w:cantSplit/>
          <w:tblHeader/>
        </w:trPr>
        <w:tc>
          <w:tcPr>
            <w:tcW w:type="dxa" w:w="2437"/>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Conductor</w:t>
            </w:r>
          </w:p>
        </w:tc>
        <w:tc>
          <w:tcPr>
            <w:tcW w:type="dxa" w:w="2437"/>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Terminal</w:t>
            </w:r>
          </w:p>
        </w:tc>
        <w:tc>
          <w:tcPr>
            <w:tcW w:type="dxa" w:w="4872"/>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Note</w:t>
            </w:r>
          </w:p>
        </w:tc>
      </w:tr>
      <w:tr>
        <w:trPr>
          <w:cantSplit/>
          <w:tblHeader w:val="false"/>
        </w:trPr>
        <w:tc>
          <w:tcPr>
            <w:tcW w:type="dxa" w:w="24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Live (L)</w:t>
            </w:r>
          </w:p>
        </w:tc>
        <w:tc>
          <w:tcPr>
            <w:tcW w:type="dxa" w:w="24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RS-15-12 "L"</w:t>
            </w:r>
          </w:p>
        </w:tc>
        <w:tc>
          <w:tcPr>
            <w:tcW w:type="dxa" w:w="487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Via PG11 gland; strain relief mandatory</w:t>
            </w:r>
          </w:p>
        </w:tc>
      </w:tr>
      <w:tr>
        <w:trPr>
          <w:cantSplit/>
          <w:tblHeader w:val="false"/>
        </w:trPr>
        <w:tc>
          <w:tcPr>
            <w:tcW w:type="dxa" w:w="24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Neutral (N)</w:t>
            </w:r>
          </w:p>
        </w:tc>
        <w:tc>
          <w:tcPr>
            <w:tcW w:type="dxa" w:w="24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RS-15-12 "N"</w:t>
            </w:r>
          </w:p>
        </w:tc>
        <w:tc>
          <w:tcPr>
            <w:tcW w:type="dxa" w:w="487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24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Earth (⏚)</w:t>
            </w:r>
          </w:p>
        </w:tc>
        <w:tc>
          <w:tcPr>
            <w:tcW w:type="dxa" w:w="24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RS-15-12 "⏚"</w:t>
            </w:r>
          </w:p>
        </w:tc>
        <w:tc>
          <w:tcPr>
            <w:tcW w:type="dxa" w:w="487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Must be terminated — do not omit</w:t>
            </w:r>
          </w:p>
        </w:tc>
      </w:tr>
    </w:tbl>
    <w:p>
      <w:pPr>
        <w:pStyle w:val="Heading2"/>
        <w:keepNext/>
        <w:keepLines/>
        <w:spacing w:after="120" w:before="280"/>
      </w:pPr>
      <w:r>
        <w:rPr>
          <w:rFonts w:ascii="Avenir Next LT Pro" w:cs="Avenir Next LT Pro" w:eastAsia="Avenir Next LT Pro" w:hAnsi="Avenir Next LT Pro"/>
          <w:b/>
          <w:bCs/>
          <w:color w:val="0F141C"/>
          <w:sz w:val="23"/>
          <w:szCs w:val="23"/>
        </w:rPr>
        <w:t xml:space="preserve">4.2  M12 sensor interface — 4-pin</w:t>
      </w:r>
    </w:p>
    <w:tbl>
      <w:tblPr>
        <w:tblW w:type="dxa" w:w="9746"/>
        <w:tblBorders>
          <w:top w:val="single" w:color="95433D" w:sz="4"/>
          <w:left w:val="single" w:color="95433D" w:sz="18"/>
          <w:bottom w:val="single" w:color="95433D" w:sz="4"/>
          <w:right w:val="single" w:color="95433D" w:sz="4"/>
          <w:insideH w:val="none"/>
          <w:insideV w:val="none"/>
        </w:tblBorders>
      </w:tblPr>
      <w:tblGrid>
        <w:gridCol w:w="9746"/>
      </w:tblGrid>
      <w:tr>
        <w:trPr>
          <w:cantSplit/>
        </w:trPr>
        <w:tc>
          <w:tcPr>
            <w:tcW w:type="dxa" w:w="9746"/>
            <w:shd w:fill="F8F2F1" w:color="auto" w:val="clear"/>
            <w:tcMar>
              <w:top w:type="dxa" w:w="120"/>
              <w:left w:type="dxa" w:w="160"/>
              <w:bottom w:type="dxa" w:w="120"/>
              <w:right w:type="dxa" w:w="160"/>
            </w:tcMar>
          </w:tcPr>
          <w:p>
            <w:pPr>
              <w:spacing w:after="60"/>
            </w:pPr>
            <w:r>
              <w:rPr>
                <w:rFonts w:ascii="Avenir Next LT Pro" w:cs="Avenir Next LT Pro" w:eastAsia="Avenir Next LT Pro" w:hAnsi="Avenir Next LT Pro"/>
                <w:b/>
                <w:bCs/>
                <w:color w:val="95433D"/>
                <w:sz w:val="19"/>
                <w:szCs w:val="19"/>
              </w:rPr>
              <w:t xml:space="preserve">OPEN ITEM — M12 PIN ASSIGNMENT</w:t>
            </w:r>
          </w:p>
          <w:p>
            <w:pPr>
              <w:spacing w:after="60" w:line="264"/>
            </w:pPr>
            <w:r>
              <w:rPr>
                <w:rFonts w:ascii="Avenir Next LT Pro" w:cs="Avenir Next LT Pro" w:eastAsia="Avenir Next LT Pro" w:hAnsi="Avenir Next LT Pro"/>
                <w:color w:val="0F141C"/>
                <w:sz w:val="19"/>
                <w:szCs w:val="19"/>
              </w:rPr>
              <w:t xml:space="preserve">The M12 pin-to-signal mapping is not defined in the source material and is left blank below. It must be fixed and recorded before any cable is made off, because a mis-assigned pin will apply 12 V to an RS-485 receiver.</w:t>
            </w:r>
          </w:p>
          <w:p>
            <w:pPr>
              <w:spacing w:after="60" w:line="264"/>
            </w:pPr>
            <w:r>
              <w:rPr>
                <w:rFonts w:ascii="Avenir Next LT Pro" w:cs="Avenir Next LT Pro" w:eastAsia="Avenir Next LT Pro" w:hAnsi="Avenir Next LT Pro"/>
                <w:color w:val="0F141C"/>
                <w:sz w:val="19"/>
                <w:szCs w:val="19"/>
              </w:rPr>
              <w:t xml:space="preserve">Populate this table, then treat it as the controlling reference for every cable assembly.</w:t>
            </w:r>
          </w:p>
        </w:tc>
      </w:tr>
    </w:tbl>
    <w:tbl>
      <w:tblPr>
        <w:tblW w:type="dxa" w:w="9746"/>
        <w:tblBorders>
          <w:top w:val="single" w:color="B8BFC6" w:sz="4"/>
          <w:left w:val="single" w:color="B8BFC6" w:sz="4"/>
          <w:bottom w:val="single" w:color="B8BFC6" w:sz="4"/>
          <w:right w:val="single" w:color="B8BFC6" w:sz="4"/>
          <w:insideH w:val="single" w:color="B8BFC6" w:sz="2"/>
          <w:insideV w:val="single" w:color="B8BFC6" w:sz="2"/>
        </w:tblBorders>
      </w:tblPr>
      <w:tblGrid>
        <w:gridCol w:w="1452"/>
        <w:gridCol w:w="2488"/>
        <w:gridCol w:w="2488"/>
        <w:gridCol w:w="3318"/>
      </w:tblGrid>
      <w:tr>
        <w:trPr>
          <w:cantSplit/>
          <w:tblHeader/>
        </w:trPr>
        <w:tc>
          <w:tcPr>
            <w:tcW w:type="dxa" w:w="1452"/>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Pin</w:t>
            </w:r>
          </w:p>
        </w:tc>
        <w:tc>
          <w:tcPr>
            <w:tcW w:type="dxa" w:w="2488"/>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Signal</w:t>
            </w:r>
          </w:p>
        </w:tc>
        <w:tc>
          <w:tcPr>
            <w:tcW w:type="dxa" w:w="2488"/>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Conductor colour</w:t>
            </w:r>
          </w:p>
        </w:tc>
        <w:tc>
          <w:tcPr>
            <w:tcW w:type="dxa" w:w="3318"/>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Destination</w:t>
            </w:r>
          </w:p>
        </w:tc>
      </w:tr>
      <w:tr>
        <w:trPr>
          <w:cantSplit/>
          <w:tblHeader w:val="false"/>
        </w:trPr>
        <w:tc>
          <w:tcPr>
            <w:tcW w:type="dxa" w:w="145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1</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331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145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2</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331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145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3</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331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145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4</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331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bl>
    <w:p>
      <w:pPr>
        <w:pStyle w:val="Heading2"/>
        <w:keepNext/>
        <w:keepLines/>
        <w:spacing w:after="120" w:before="280"/>
      </w:pPr>
      <w:r>
        <w:rPr>
          <w:rFonts w:ascii="Avenir Next LT Pro" w:cs="Avenir Next LT Pro" w:eastAsia="Avenir Next LT Pro" w:hAnsi="Avenir Next LT Pro"/>
          <w:b/>
          <w:bCs/>
          <w:color w:val="0F141C"/>
          <w:sz w:val="23"/>
          <w:szCs w:val="23"/>
        </w:rPr>
        <w:t xml:space="preserve">4.3  Controller GPIO allocation</w:t>
      </w:r>
    </w:p>
    <w:p>
      <w:pPr>
        <w:spacing w:after="120" w:before="0" w:line="276"/>
      </w:pPr>
      <w:r>
        <w:rPr>
          <w:rFonts w:ascii="Avenir Next LT Pro" w:cs="Avenir Next LT Pro" w:eastAsia="Avenir Next LT Pro" w:hAnsi="Avenir Next LT Pro"/>
          <w:color w:val="0F141C"/>
          <w:sz w:val="20"/>
          <w:szCs w:val="20"/>
        </w:rPr>
        <w:t xml:space="preserve">Assignments below are read from the firmware build configuration and source. They are contractual — changing them requires a firmware change.</w:t>
      </w:r>
    </w:p>
    <w:tbl>
      <w:tblPr>
        <w:tblW w:type="dxa" w:w="9746"/>
        <w:tblBorders>
          <w:top w:val="single" w:color="B8BFC6" w:sz="4"/>
          <w:left w:val="single" w:color="B8BFC6" w:sz="4"/>
          <w:bottom w:val="single" w:color="B8BFC6" w:sz="4"/>
          <w:right w:val="single" w:color="B8BFC6" w:sz="4"/>
          <w:insideH w:val="single" w:color="B8BFC6" w:sz="2"/>
          <w:insideV w:val="single" w:color="B8BFC6" w:sz="2"/>
        </w:tblBorders>
      </w:tblPr>
      <w:tblGrid>
        <w:gridCol w:w="1659"/>
        <w:gridCol w:w="3110"/>
        <w:gridCol w:w="4977"/>
      </w:tblGrid>
      <w:tr>
        <w:trPr>
          <w:cantSplit/>
          <w:tblHeader/>
        </w:trPr>
        <w:tc>
          <w:tcPr>
            <w:tcW w:type="dxa" w:w="1659"/>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GPIO</w:t>
            </w:r>
          </w:p>
        </w:tc>
        <w:tc>
          <w:tcPr>
            <w:tcW w:type="dxa" w:w="3110"/>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Function</w:t>
            </w:r>
          </w:p>
        </w:tc>
        <w:tc>
          <w:tcPr>
            <w:tcW w:type="dxa" w:w="4977"/>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Note</w:t>
            </w:r>
          </w:p>
        </w:tc>
      </w:tr>
      <w:tr>
        <w:trPr>
          <w:cantSplit/>
          <w:tblHeader w:val="false"/>
        </w:trPr>
        <w:tc>
          <w:tcPr>
            <w:tcW w:type="dxa" w:w="1659"/>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1 (U0TXD)</w:t>
            </w:r>
          </w:p>
        </w:tc>
        <w:tc>
          <w:tcPr>
            <w:tcW w:type="dxa" w:w="311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Sensor UART TX</w:t>
            </w:r>
          </w:p>
        </w:tc>
        <w:tc>
          <w:tcPr>
            <w:tcW w:type="dxa" w:w="497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Set by SENSOR_UART_TX_PIN. Shared with the ROM bootloader console — see caution below</w:t>
            </w:r>
          </w:p>
        </w:tc>
      </w:tr>
      <w:tr>
        <w:trPr>
          <w:cantSplit/>
          <w:tblHeader w:val="false"/>
        </w:trPr>
        <w:tc>
          <w:tcPr>
            <w:tcW w:type="dxa" w:w="1659"/>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3 (U0RXD)</w:t>
            </w:r>
          </w:p>
        </w:tc>
        <w:tc>
          <w:tcPr>
            <w:tcW w:type="dxa" w:w="311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Sensor UART RX</w:t>
            </w:r>
          </w:p>
        </w:tc>
        <w:tc>
          <w:tcPr>
            <w:tcW w:type="dxa" w:w="497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Set by SENSOR_UART_RX_PIN</w:t>
            </w:r>
          </w:p>
        </w:tc>
      </w:tr>
      <w:tr>
        <w:trPr>
          <w:cantSplit/>
          <w:tblHeader w:val="false"/>
        </w:trPr>
        <w:tc>
          <w:tcPr>
            <w:tcW w:type="dxa" w:w="1659"/>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0</w:t>
            </w:r>
          </w:p>
        </w:tc>
        <w:tc>
          <w:tcPr>
            <w:tcW w:type="dxa" w:w="311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Setup button (BOOT)</w:t>
            </w:r>
          </w:p>
        </w:tc>
        <w:tc>
          <w:tcPr>
            <w:tcW w:type="dxa" w:w="497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Boot strapping pin — must be high at reset or the module enters download mode</w:t>
            </w:r>
          </w:p>
        </w:tc>
      </w:tr>
      <w:tr>
        <w:trPr>
          <w:cantSplit/>
          <w:tblHeader w:val="false"/>
        </w:trPr>
        <w:tc>
          <w:tcPr>
            <w:tcW w:type="dxa" w:w="1659"/>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2</w:t>
            </w:r>
          </w:p>
        </w:tc>
        <w:tc>
          <w:tcPr>
            <w:tcW w:type="dxa" w:w="311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Status LED</w:t>
            </w:r>
          </w:p>
        </w:tc>
        <w:tc>
          <w:tcPr>
            <w:tcW w:type="dxa" w:w="497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Active-low. 1 Hz blink = AP up, station not connected</w:t>
            </w:r>
          </w:p>
        </w:tc>
      </w:tr>
    </w:tbl>
    <w:tbl>
      <w:tblPr>
        <w:tblW w:type="dxa" w:w="9746"/>
        <w:tblBorders>
          <w:top w:val="single" w:color="95433D" w:sz="4"/>
          <w:left w:val="single" w:color="95433D" w:sz="18"/>
          <w:bottom w:val="single" w:color="95433D" w:sz="4"/>
          <w:right w:val="single" w:color="95433D" w:sz="4"/>
          <w:insideH w:val="none"/>
          <w:insideV w:val="none"/>
        </w:tblBorders>
      </w:tblPr>
      <w:tblGrid>
        <w:gridCol w:w="9746"/>
      </w:tblGrid>
      <w:tr>
        <w:trPr>
          <w:cantSplit/>
        </w:trPr>
        <w:tc>
          <w:tcPr>
            <w:tcW w:type="dxa" w:w="9746"/>
            <w:shd w:fill="F8F2F1" w:color="auto" w:val="clear"/>
            <w:tcMar>
              <w:top w:type="dxa" w:w="120"/>
              <w:left w:type="dxa" w:w="160"/>
              <w:bottom w:type="dxa" w:w="120"/>
              <w:right w:type="dxa" w:w="160"/>
            </w:tcMar>
          </w:tcPr>
          <w:p>
            <w:pPr>
              <w:spacing w:after="60"/>
            </w:pPr>
            <w:r>
              <w:rPr>
                <w:rFonts w:ascii="Avenir Next LT Pro" w:cs="Avenir Next LT Pro" w:eastAsia="Avenir Next LT Pro" w:hAnsi="Avenir Next LT Pro"/>
                <w:b/>
                <w:bCs/>
                <w:color w:val="95433D"/>
                <w:sz w:val="19"/>
                <w:szCs w:val="19"/>
              </w:rPr>
              <w:t xml:space="preserve">CAUTION — UART0 IS SHARED</w:t>
            </w:r>
          </w:p>
          <w:p>
            <w:pPr>
              <w:spacing w:after="60" w:line="264"/>
            </w:pPr>
            <w:r>
              <w:rPr>
                <w:rFonts w:ascii="Avenir Next LT Pro" w:cs="Avenir Next LT Pro" w:eastAsia="Avenir Next LT Pro" w:hAnsi="Avenir Next LT Pro"/>
                <w:color w:val="0F141C"/>
                <w:sz w:val="19"/>
                <w:szCs w:val="19"/>
              </w:rPr>
              <w:t xml:space="preserve">The sensor UART is mapped onto GPIO1/GPIO3, which are also the ESP32 ROM bootloader console. Application serial logging is disabled in this build for that reason.</w:t>
            </w:r>
          </w:p>
          <w:p>
            <w:pPr>
              <w:spacing w:after="60" w:line="264"/>
            </w:pPr>
            <w:r>
              <w:rPr>
                <w:rFonts w:ascii="Avenir Next LT Pro" w:cs="Avenir Next LT Pro" w:eastAsia="Avenir Next LT Pro" w:hAnsi="Avenir Next LT Pro"/>
                <w:color w:val="0F141C"/>
                <w:sz w:val="19"/>
                <w:szCs w:val="19"/>
              </w:rPr>
              <w:t xml:space="preserve">The USB data connection must be removed during normal sensor operation. Firmware cannot isolate these pins; a production PCB should migrate the sensor to a separate UART or add hardware isolation.</w:t>
            </w:r>
          </w:p>
        </w:tc>
      </w:tr>
    </w:tbl>
    <w:p>
      <w:pPr>
        <w:pStyle w:val="Heading1"/>
        <w:keepNext/>
        <w:keepLines/>
        <w:pBdr>
          <w:bottom w:val="single" w:color="B8BFC6" w:sz="8" w:space="6"/>
        </w:pBdr>
        <w:spacing w:after="160" w:before="360"/>
      </w:pPr>
      <w:r>
        <w:rPr>
          <w:rFonts w:ascii="Avenir Next LT Pro" w:cs="Avenir Next LT Pro" w:eastAsia="Avenir Next LT Pro" w:hAnsi="Avenir Next LT Pro"/>
          <w:b/>
          <w:bCs/>
          <w:color w:val="0F141C"/>
          <w:sz w:val="28"/>
          <w:szCs w:val="28"/>
        </w:rPr>
        <w:t xml:space="preserve">5.  Firmware and Identity</w:t>
      </w:r>
    </w:p>
    <w:p>
      <w:pPr>
        <w:pStyle w:val="Heading2"/>
        <w:keepNext/>
        <w:keepLines/>
        <w:spacing w:after="120" w:before="280"/>
      </w:pPr>
      <w:r>
        <w:rPr>
          <w:rFonts w:ascii="Avenir Next LT Pro" w:cs="Avenir Next LT Pro" w:eastAsia="Avenir Next LT Pro" w:hAnsi="Avenir Next LT Pro"/>
          <w:b/>
          <w:bCs/>
          <w:color w:val="0F141C"/>
          <w:sz w:val="23"/>
          <w:szCs w:val="23"/>
        </w:rPr>
        <w:t xml:space="preserve">5.1  Build baseline</w:t>
      </w:r>
    </w:p>
    <w:tbl>
      <w:tblPr>
        <w:tblW w:type="dxa" w:w="9746"/>
        <w:tblBorders>
          <w:top w:val="single" w:color="B8BFC6" w:sz="4"/>
          <w:left w:val="single" w:color="B8BFC6" w:sz="4"/>
          <w:bottom w:val="single" w:color="B8BFC6" w:sz="4"/>
          <w:right w:val="single" w:color="B8BFC6" w:sz="4"/>
          <w:insideH w:val="single" w:color="B8BFC6" w:sz="2"/>
          <w:insideV w:val="single" w:color="B8BFC6" w:sz="2"/>
        </w:tblBorders>
      </w:tblPr>
      <w:tblGrid>
        <w:gridCol w:w="3161"/>
        <w:gridCol w:w="6585"/>
      </w:tblGrid>
      <w:tr>
        <w:trPr>
          <w:cantSplit/>
          <w:tblHeader/>
        </w:trPr>
        <w:tc>
          <w:tcPr>
            <w:tcW w:type="dxa" w:w="3161"/>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Parameter</w:t>
            </w:r>
          </w:p>
        </w:tc>
        <w:tc>
          <w:tcPr>
            <w:tcW w:type="dxa" w:w="6585"/>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Value</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Firmware name</w:t>
            </w:r>
          </w:p>
        </w:tc>
        <w:tc>
          <w:tcPr>
            <w:tcW w:type="dxa" w:w="658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VibScope Controller</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Version</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1.8.5-live-readings</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Platform</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espressif32 @ 7.0.1, Arduino framework, board esp32dev</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Key libraries</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PubSubClient 2.8.0 · ArduinoJson 6.21.5</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Build command</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platformio run --environment esp32dev</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Contract tests</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node test/reliability_contract_test.js  (must pass before release)</w:t>
            </w:r>
          </w:p>
        </w:tc>
      </w:tr>
    </w:tbl>
    <w:p>
      <w:pPr>
        <w:pStyle w:val="Heading2"/>
        <w:keepNext/>
        <w:keepLines/>
        <w:spacing w:after="120" w:before="280"/>
      </w:pPr>
      <w:r>
        <w:rPr>
          <w:rFonts w:ascii="Avenir Next LT Pro" w:cs="Avenir Next LT Pro" w:eastAsia="Avenir Next LT Pro" w:hAnsi="Avenir Next LT Pro"/>
          <w:b/>
          <w:bCs/>
          <w:color w:val="0F141C"/>
          <w:sz w:val="23"/>
          <w:szCs w:val="23"/>
        </w:rPr>
        <w:t xml:space="preserve">5.2  Serial number and credentials</w:t>
      </w:r>
    </w:p>
    <w:p>
      <w:pPr>
        <w:spacing w:after="120" w:before="0" w:line="276"/>
      </w:pPr>
      <w:r>
        <w:rPr>
          <w:rFonts w:ascii="Avenir Next LT Pro" w:cs="Avenir Next LT Pro" w:eastAsia="Avenir Next LT Pro" w:hAnsi="Avenir Next LT Pro"/>
          <w:color w:val="0F141C"/>
          <w:sz w:val="20"/>
          <w:szCs w:val="20"/>
        </w:rPr>
        <w:t xml:space="preserve">Each build allocates a unique serial from a managed registry. The serial is simultaneously the device identity, the setup AP suffix and the initial AP password.</w:t>
      </w:r>
    </w:p>
    <w:tbl>
      <w:tblPr>
        <w:tblW w:type="dxa" w:w="9746"/>
        <w:tblBorders>
          <w:top w:val="single" w:color="B8BFC6" w:sz="4"/>
          <w:left w:val="single" w:color="B8BFC6" w:sz="4"/>
          <w:bottom w:val="single" w:color="B8BFC6" w:sz="4"/>
          <w:right w:val="single" w:color="B8BFC6" w:sz="4"/>
          <w:insideH w:val="single" w:color="B8BFC6" w:sz="2"/>
          <w:insideV w:val="single" w:color="B8BFC6" w:sz="2"/>
        </w:tblBorders>
      </w:tblPr>
      <w:tblGrid>
        <w:gridCol w:w="3161"/>
        <w:gridCol w:w="6585"/>
      </w:tblGrid>
      <w:tr>
        <w:trPr>
          <w:cantSplit/>
          <w:tblHeader/>
        </w:trPr>
        <w:tc>
          <w:tcPr>
            <w:tcW w:type="dxa" w:w="3161"/>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Item</w:t>
            </w:r>
          </w:p>
        </w:tc>
        <w:tc>
          <w:tcPr>
            <w:tcW w:type="dxa" w:w="6585"/>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Value / format</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Serial namespace</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2607-12-#####</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Allocated by</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scripts/generate_serial.py → include/build_identity.h</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Registry</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scripts/serial_registry.json — must be committed after every build</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Setup AP SSID</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VibScope-&lt;serial&gt;</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Setup AP password</w:t>
            </w:r>
          </w:p>
        </w:tc>
        <w:tc>
          <w:tcPr>
            <w:tcW w:type="dxa" w:w="658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The product serial (migration default — must be changed at commissioning)</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Setup portal URL</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http://192.168.1.4</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MQTT topic</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sensors/&lt;deviceId&gt;/measurements</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MQTT port (default)</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1883</w:t>
            </w:r>
          </w:p>
        </w:tc>
      </w:tr>
    </w:tbl>
    <w:tbl>
      <w:tblPr>
        <w:tblW w:type="dxa" w:w="9746"/>
        <w:tblBorders>
          <w:top w:val="single" w:color="95433D" w:sz="4"/>
          <w:left w:val="single" w:color="95433D" w:sz="18"/>
          <w:bottom w:val="single" w:color="95433D" w:sz="4"/>
          <w:right w:val="single" w:color="95433D" w:sz="4"/>
          <w:insideH w:val="none"/>
          <w:insideV w:val="none"/>
        </w:tblBorders>
      </w:tblPr>
      <w:tblGrid>
        <w:gridCol w:w="9746"/>
      </w:tblGrid>
      <w:tr>
        <w:trPr>
          <w:cantSplit/>
        </w:trPr>
        <w:tc>
          <w:tcPr>
            <w:tcW w:type="dxa" w:w="9746"/>
            <w:shd w:fill="F8F2F1" w:color="auto" w:val="clear"/>
            <w:tcMar>
              <w:top w:type="dxa" w:w="120"/>
              <w:left w:type="dxa" w:w="160"/>
              <w:bottom w:type="dxa" w:w="120"/>
              <w:right w:type="dxa" w:w="160"/>
            </w:tcMar>
          </w:tcPr>
          <w:p>
            <w:pPr>
              <w:spacing w:after="60"/>
            </w:pPr>
            <w:r>
              <w:rPr>
                <w:rFonts w:ascii="Avenir Next LT Pro" w:cs="Avenir Next LT Pro" w:eastAsia="Avenir Next LT Pro" w:hAnsi="Avenir Next LT Pro"/>
                <w:b/>
                <w:bCs/>
                <w:color w:val="95433D"/>
                <w:sz w:val="19"/>
                <w:szCs w:val="19"/>
              </w:rPr>
              <w:t xml:space="preserve">SECURITY — SHARED FALLBACK CREDENTIAL</w:t>
            </w:r>
          </w:p>
          <w:p>
            <w:pPr>
              <w:spacing w:after="60" w:line="264"/>
            </w:pPr>
            <w:r>
              <w:rPr>
                <w:rFonts w:ascii="Avenir Next LT Pro" w:cs="Avenir Next LT Pro" w:eastAsia="Avenir Next LT Pro" w:hAnsi="Avenir Next LT Pro"/>
                <w:color w:val="0F141C"/>
                <w:sz w:val="19"/>
                <w:szCs w:val="19"/>
              </w:rPr>
              <w:t xml:space="preserve">A unit shipped with the AP password still equal to its serial is not commissioned. The setup portal rejects production saves while the shared fallback remains active.</w:t>
            </w:r>
          </w:p>
          <w:p>
            <w:pPr>
              <w:spacing w:after="60" w:line="264"/>
            </w:pPr>
            <w:r>
              <w:rPr>
                <w:rFonts w:ascii="Avenir Next LT Pro" w:cs="Avenir Next LT Pro" w:eastAsia="Avenir Next LT Pro" w:hAnsi="Avenir Next LT Pro"/>
                <w:color w:val="0F141C"/>
                <w:sz w:val="19"/>
                <w:szCs w:val="19"/>
              </w:rPr>
              <w:t xml:space="preserve">Replace it with a unique 8–63 character password at commissioning and record it in the customer build record — not in this document.</w:t>
            </w:r>
          </w:p>
          <w:p>
            <w:pPr>
              <w:spacing w:after="60" w:line="264"/>
            </w:pPr>
            <w:r>
              <w:rPr>
                <w:rFonts w:ascii="Avenir Next LT Pro" w:cs="Avenir Next LT Pro" w:eastAsia="Avenir Next LT Pro" w:hAnsi="Avenir Next LT Pro"/>
                <w:color w:val="0F141C"/>
                <w:sz w:val="19"/>
                <w:szCs w:val="19"/>
              </w:rPr>
              <w:t xml:space="preserve">Note also that MQTT port 1883 is plaintext. Do not carry reusable production credentials over an untrusted network on this port.</w:t>
            </w:r>
          </w:p>
        </w:tc>
      </w:tr>
    </w:tbl>
    <w:p>
      <w:pPr>
        <w:pStyle w:val="Heading2"/>
        <w:keepNext/>
        <w:keepLines/>
        <w:spacing w:after="120" w:before="280"/>
      </w:pPr>
      <w:r>
        <w:rPr>
          <w:rFonts w:ascii="Avenir Next LT Pro" w:cs="Avenir Next LT Pro" w:eastAsia="Avenir Next LT Pro" w:hAnsi="Avenir Next LT Pro"/>
          <w:b/>
          <w:bCs/>
          <w:color w:val="0F141C"/>
          <w:sz w:val="23"/>
          <w:szCs w:val="23"/>
        </w:rPr>
        <w:t xml:space="preserve">5.3  Supported sensor profiles</w:t>
      </w:r>
    </w:p>
    <w:p>
      <w:pPr>
        <w:spacing w:after="120" w:before="0" w:line="276"/>
      </w:pPr>
      <w:r>
        <w:rPr>
          <w:rFonts w:ascii="Avenir Next LT Pro" w:cs="Avenir Next LT Pro" w:eastAsia="Avenir Next LT Pro" w:hAnsi="Avenir Next LT Pro"/>
          <w:color w:val="0F141C"/>
          <w:sz w:val="20"/>
          <w:szCs w:val="20"/>
        </w:rPr>
        <w:t xml:space="preserve">Profiles are uploaded through the setup portal and stored in NVS. The shipped set is:</w:t>
      </w:r>
    </w:p>
    <w:tbl>
      <w:tblPr>
        <w:tblW w:type="dxa" w:w="9746"/>
        <w:tblBorders>
          <w:top w:val="single" w:color="B8BFC6" w:sz="4"/>
          <w:left w:val="single" w:color="B8BFC6" w:sz="4"/>
          <w:bottom w:val="single" w:color="B8BFC6" w:sz="4"/>
          <w:right w:val="single" w:color="B8BFC6" w:sz="4"/>
          <w:insideH w:val="single" w:color="B8BFC6" w:sz="2"/>
          <w:insideV w:val="single" w:color="B8BFC6" w:sz="2"/>
        </w:tblBorders>
      </w:tblPr>
      <w:tblGrid>
        <w:gridCol w:w="2696"/>
        <w:gridCol w:w="2488"/>
        <w:gridCol w:w="2488"/>
        <w:gridCol w:w="2074"/>
      </w:tblGrid>
      <w:tr>
        <w:trPr>
          <w:cantSplit/>
          <w:tblHeader/>
        </w:trPr>
        <w:tc>
          <w:tcPr>
            <w:tcW w:type="dxa" w:w="2696"/>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Profile key</w:t>
            </w:r>
          </w:p>
        </w:tc>
        <w:tc>
          <w:tcPr>
            <w:tcW w:type="dxa" w:w="2488"/>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Model</w:t>
            </w:r>
          </w:p>
        </w:tc>
        <w:tc>
          <w:tcPr>
            <w:tcW w:type="dxa" w:w="2488"/>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Baud / format</w:t>
            </w:r>
          </w:p>
        </w:tc>
        <w:tc>
          <w:tcPr>
            <w:tcW w:type="dxa" w:w="2074"/>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Slave ID</w:t>
            </w:r>
          </w:p>
        </w:tc>
      </w:tr>
      <w:tr>
        <w:trPr>
          <w:cantSplit/>
          <w:tblHeader w:val="false"/>
        </w:trPr>
        <w:tc>
          <w:tcPr>
            <w:tcW w:type="dxa" w:w="2696"/>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witmotion_wtvb01</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WitMotion WTVB01-485</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9600 8N1</w:t>
            </w:r>
          </w:p>
        </w:tc>
        <w:tc>
          <w:tcPr>
            <w:tcW w:type="dxa" w:w="207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80</w:t>
            </w:r>
          </w:p>
        </w:tc>
      </w:tr>
      <w:tr>
        <w:trPr>
          <w:cantSplit/>
          <w:tblHeader w:val="false"/>
        </w:trPr>
        <w:tc>
          <w:tcPr>
            <w:tcW w:type="dxa" w:w="2696"/>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bx2601a_wz01m</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BX2601A / WZ01M</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Per profile</w:t>
            </w:r>
          </w:p>
        </w:tc>
        <w:tc>
          <w:tcPr>
            <w:tcW w:type="dxa" w:w="207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Per profile</w:t>
            </w:r>
          </w:p>
        </w:tc>
      </w:tr>
      <w:tr>
        <w:trPr>
          <w:cantSplit/>
          <w:tblHeader w:val="false"/>
        </w:trPr>
        <w:tc>
          <w:tcPr>
            <w:tcW w:type="dxa" w:w="2696"/>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bydr3016zw</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BYDR3016ZW</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Per profile</w:t>
            </w:r>
          </w:p>
        </w:tc>
        <w:tc>
          <w:tcPr>
            <w:tcW w:type="dxa" w:w="207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Per profile</w:t>
            </w:r>
          </w:p>
        </w:tc>
      </w:tr>
      <w:tr>
        <w:trPr>
          <w:cantSplit/>
          <w:tblHeader w:val="false"/>
        </w:trPr>
        <w:tc>
          <w:tcPr>
            <w:tcW w:type="dxa" w:w="2696"/>
            <w:tcMar>
              <w:top w:type="dxa" w:w="70"/>
              <w:left w:type="dxa" w:w="100"/>
              <w:bottom w:type="dxa" w:w="70"/>
              <w:right w:type="dxa" w:w="100"/>
            </w:tcMar>
            <w:vAlign w:val="center"/>
          </w:tcPr>
          <w:p>
            <w:pPr>
              <w:spacing w:after="0" w:line="252"/>
            </w:pPr>
            <w:r>
              <w:rPr>
                <w:rFonts w:ascii="Consolas" w:cs="Consolas" w:eastAsia="Consolas" w:hAnsi="Consolas"/>
                <w:b w:val="false"/>
                <w:bCs w:val="false"/>
                <w:color w:val="0F141C"/>
                <w:sz w:val="18"/>
                <w:szCs w:val="18"/>
              </w:rPr>
              <w:t xml:space="preserve">banner_qm30vt3</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Banner QM30VT3</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19200</w:t>
            </w:r>
          </w:p>
        </w:tc>
        <w:tc>
          <w:tcPr>
            <w:tcW w:type="dxa" w:w="207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Per profile</w:t>
            </w:r>
          </w:p>
        </w:tc>
      </w:tr>
    </w:tbl>
    <w:p>
      <w:pPr>
        <w:pStyle w:val="Heading1"/>
        <w:keepNext/>
        <w:keepLines/>
        <w:pBdr>
          <w:bottom w:val="single" w:color="B8BFC6" w:sz="8" w:space="6"/>
        </w:pBdr>
        <w:spacing w:after="160" w:before="360"/>
      </w:pPr>
      <w:r>
        <w:rPr>
          <w:rFonts w:ascii="Avenir Next LT Pro" w:cs="Avenir Next LT Pro" w:eastAsia="Avenir Next LT Pro" w:hAnsi="Avenir Next LT Pro"/>
          <w:b/>
          <w:bCs/>
          <w:color w:val="0F141C"/>
          <w:sz w:val="28"/>
          <w:szCs w:val="28"/>
        </w:rPr>
        <w:t xml:space="preserve">6.  Assembly Procedure</w:t>
      </w:r>
    </w:p>
    <w:tbl>
      <w:tblPr>
        <w:tblW w:type="dxa" w:w="9746"/>
        <w:tblBorders>
          <w:top w:val="single" w:color="95433D" w:sz="4"/>
          <w:left w:val="single" w:color="95433D" w:sz="18"/>
          <w:bottom w:val="single" w:color="95433D" w:sz="4"/>
          <w:right w:val="single" w:color="95433D" w:sz="4"/>
          <w:insideH w:val="none"/>
          <w:insideV w:val="none"/>
        </w:tblBorders>
      </w:tblPr>
      <w:tblGrid>
        <w:gridCol w:w="9746"/>
      </w:tblGrid>
      <w:tr>
        <w:trPr>
          <w:cantSplit/>
        </w:trPr>
        <w:tc>
          <w:tcPr>
            <w:tcW w:type="dxa" w:w="9746"/>
            <w:shd w:fill="F8F2F1" w:color="auto" w:val="clear"/>
            <w:tcMar>
              <w:top w:type="dxa" w:w="120"/>
              <w:left w:type="dxa" w:w="160"/>
              <w:bottom w:type="dxa" w:w="120"/>
              <w:right w:type="dxa" w:w="160"/>
            </w:tcMar>
          </w:tcPr>
          <w:p>
            <w:pPr>
              <w:spacing w:after="60"/>
            </w:pPr>
            <w:r>
              <w:rPr>
                <w:rFonts w:ascii="Avenir Next LT Pro" w:cs="Avenir Next LT Pro" w:eastAsia="Avenir Next LT Pro" w:hAnsi="Avenir Next LT Pro"/>
                <w:b/>
                <w:bCs/>
                <w:color w:val="95433D"/>
                <w:sz w:val="19"/>
                <w:szCs w:val="19"/>
              </w:rPr>
              <w:t xml:space="preserve">SAFETY — MAINS VOLTAGE</w:t>
            </w:r>
          </w:p>
          <w:p>
            <w:pPr>
              <w:spacing w:after="60" w:line="264"/>
            </w:pPr>
            <w:r>
              <w:rPr>
                <w:rFonts w:ascii="Avenir Next LT Pro" w:cs="Avenir Next LT Pro" w:eastAsia="Avenir Next LT Pro" w:hAnsi="Avenir Next LT Pro"/>
                <w:color w:val="0F141C"/>
                <w:sz w:val="19"/>
                <w:szCs w:val="19"/>
              </w:rPr>
              <w:t xml:space="preserve">The RS-15-12 is an open-frame mains supply. All work in sections 6.3 and beyond is to be performed with the unit fully disconnected from mains.</w:t>
            </w:r>
          </w:p>
          <w:p>
            <w:pPr>
              <w:spacing w:after="60" w:line="264"/>
            </w:pPr>
            <w:r>
              <w:rPr>
                <w:rFonts w:ascii="Avenir Next LT Pro" w:cs="Avenir Next LT Pro" w:eastAsia="Avenir Next LT Pro" w:hAnsi="Avenir Next LT Pro"/>
                <w:color w:val="0F141C"/>
                <w:sz w:val="19"/>
                <w:szCs w:val="19"/>
              </w:rPr>
              <w:t xml:space="preserve">Do not energise the unit with the PSU cover removed. Earth continuity must be verified before first energisation.</w:t>
            </w:r>
          </w:p>
        </w:tc>
      </w:tr>
    </w:tbl>
    <w:p>
      <w:pPr>
        <w:pStyle w:val="Heading2"/>
        <w:keepNext/>
        <w:keepLines/>
        <w:spacing w:after="120" w:before="280"/>
      </w:pPr>
      <w:r>
        <w:rPr>
          <w:rFonts w:ascii="Avenir Next LT Pro" w:cs="Avenir Next LT Pro" w:eastAsia="Avenir Next LT Pro" w:hAnsi="Avenir Next LT Pro"/>
          <w:b/>
          <w:bCs/>
          <w:color w:val="0F141C"/>
          <w:sz w:val="23"/>
          <w:szCs w:val="23"/>
        </w:rPr>
        <w:t xml:space="preserve">6.1  Print and prepare the enclosure</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Print main.stl, back_cover.stl and psu_cover.stl to the parameters in §2.2. Inspect for layer separation, warping and dimensional error at the gland and M12 bosses.</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Anneal per the filament data sheet if the deployment temperature requires it.</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Heat-set the brass M2 inserts into every boss. Set them square and flush; a tilted insert will crack the boss when the screw is torqued.</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Test-fit the RS-15-12, the PCB and both covers dry, before any wiring.</w:t>
      </w:r>
    </w:p>
    <w:p>
      <w:pPr>
        <w:pStyle w:val="Heading2"/>
        <w:keepNext/>
        <w:keepLines/>
        <w:spacing w:after="120" w:before="280"/>
      </w:pPr>
      <w:r>
        <w:rPr>
          <w:rFonts w:ascii="Avenir Next LT Pro" w:cs="Avenir Next LT Pro" w:eastAsia="Avenir Next LT Pro" w:hAnsi="Avenir Next LT Pro"/>
          <w:b/>
          <w:bCs/>
          <w:color w:val="0F141C"/>
          <w:sz w:val="23"/>
          <w:szCs w:val="23"/>
        </w:rPr>
        <w:t xml:space="preserve">6.2  Populate and test the PCB</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Fit the 2.54 mm headers: two 19-way and two 4-way female headers, plus male pin header as required.</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Fit the 4-way and 2-way 5 mm terminal blocks.</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Fit the Murata OKI-78SR-5 DC-DC converter. Observe polarity and orientation.</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Fit the isolated RS-485 ⇄ TTL module.</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Before fitting the ESP32: apply 12 V to the input terminal and confirm 5.0 V ± 0.2 V at the converter output. Do not proceed on a failed reading.</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Remove power, then seat the ESP32-WROOM-32U carrier.</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Connect the U.FL antenna lead. Press until it clicks — a partially seated U.FL connector will pass a bench test at close range and fail in the field.</w:t>
      </w:r>
    </w:p>
    <w:p>
      <w:pPr>
        <w:pStyle w:val="Heading2"/>
        <w:keepNext/>
        <w:keepLines/>
        <w:spacing w:after="120" w:before="280"/>
      </w:pPr>
      <w:r>
        <w:rPr>
          <w:rFonts w:ascii="Avenir Next LT Pro" w:cs="Avenir Next LT Pro" w:eastAsia="Avenir Next LT Pro" w:hAnsi="Avenir Next LT Pro"/>
          <w:b/>
          <w:bCs/>
          <w:color w:val="0F141C"/>
          <w:sz w:val="23"/>
          <w:szCs w:val="23"/>
        </w:rPr>
        <w:t xml:space="preserve">6.3  Flash and verify firmware</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Allocate a serial and build: the pre-build script writes include/build_identity.h automatically.</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Run the reliability contract tests. Do not flash from a failing tree.</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Flash over USB, then disconnect the USB data connection — GPIO1/GPIO3 are shared with the sensor UART (§4.3).</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Record the firmware version, the binary SHA-256 and the allocated serial in the customer build record.</w:t>
      </w:r>
    </w:p>
    <w:p>
      <w:pPr>
        <w:pStyle w:val="Heading2"/>
        <w:keepNext/>
        <w:keepLines/>
        <w:spacing w:after="120" w:before="280"/>
      </w:pPr>
      <w:r>
        <w:rPr>
          <w:rFonts w:ascii="Avenir Next LT Pro" w:cs="Avenir Next LT Pro" w:eastAsia="Avenir Next LT Pro" w:hAnsi="Avenir Next LT Pro"/>
          <w:b/>
          <w:bCs/>
          <w:color w:val="0F141C"/>
          <w:sz w:val="23"/>
          <w:szCs w:val="23"/>
        </w:rPr>
        <w:t xml:space="preserve">6.4  Mechanical and mains assembly</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Mount the RS-15-12 into the main body using the two M3 × 4 mm screws.</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Fit the PG11 stainless gland to the mains entry boss.</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Route the Fajar 1 mm² 3-core cable through the gland. Terminate L, N and E to the PSU input. Tighten the gland to achieve strain relief and sealing.</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Wire the PSU 12 V output to the PCB input terminal block, observing polarity.</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Mount the PCB into the main body using M2 × 5 mm screws.</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Fit the M12 4-pin panel connector and wire it per §4.2 — do not proceed until that table is populated.</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Fit psu_cover.stl over the power supply. This is a mains touch guard; it is not optional.</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Fit back_cover.stl and secure with the remaining M2 × 5 mm screws. Fourteen M2 screws are used in total.</w:t>
      </w:r>
    </w:p>
    <w:p>
      <w:pPr>
        <w:pStyle w:val="Heading2"/>
        <w:keepNext/>
        <w:keepLines/>
        <w:spacing w:after="120" w:before="280"/>
      </w:pPr>
      <w:r>
        <w:rPr>
          <w:rFonts w:ascii="Avenir Next LT Pro" w:cs="Avenir Next LT Pro" w:eastAsia="Avenir Next LT Pro" w:hAnsi="Avenir Next LT Pro"/>
          <w:b/>
          <w:bCs/>
          <w:color w:val="0F141C"/>
          <w:sz w:val="23"/>
          <w:szCs w:val="23"/>
        </w:rPr>
        <w:t xml:space="preserve">6.5  Sensor cable assembly</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Make off the M12 4-pin female connector to the sensor cable per §4.2.</w:t>
      </w:r>
    </w:p>
    <w:p>
      <w:pPr>
        <w:pStyle w:val="ListParagraph"/>
        <w:numPr>
          <w:ilvl w:val="0"/>
          <w:numId w:val="2"/>
        </w:numPr>
        <w:spacing w:after="100" w:line="276"/>
      </w:pPr>
      <w:r>
        <w:rPr>
          <w:rFonts w:ascii="Avenir Next LT Pro" w:cs="Avenir Next LT Pro" w:eastAsia="Avenir Next LT Pro" w:hAnsi="Avenir Next LT Pro"/>
          <w:color w:val="0F141C"/>
          <w:sz w:val="20"/>
          <w:szCs w:val="20"/>
        </w:rPr>
        <w:t xml:space="preserve">Verify continuity pin-to-pin and confirm no short between the supply pair and the RS-485 pair before connecting a sensor.</w:t>
      </w:r>
    </w:p>
    <w:p>
      <w:pPr>
        <w:pStyle w:val="Heading1"/>
        <w:keepNext/>
        <w:keepLines/>
        <w:pBdr>
          <w:bottom w:val="single" w:color="B8BFC6" w:sz="8" w:space="6"/>
        </w:pBdr>
        <w:spacing w:after="160" w:before="360"/>
      </w:pPr>
      <w:r>
        <w:rPr>
          <w:rFonts w:ascii="Avenir Next LT Pro" w:cs="Avenir Next LT Pro" w:eastAsia="Avenir Next LT Pro" w:hAnsi="Avenir Next LT Pro"/>
          <w:b/>
          <w:bCs/>
          <w:color w:val="0F141C"/>
          <w:sz w:val="28"/>
          <w:szCs w:val="28"/>
        </w:rPr>
        <w:t xml:space="preserve">7.  Test and Commissioning Sign-off</w:t>
      </w:r>
    </w:p>
    <w:p>
      <w:pPr>
        <w:spacing w:after="120" w:before="0" w:line="276"/>
      </w:pPr>
      <w:r>
        <w:rPr>
          <w:rFonts w:ascii="Avenir Next LT Pro" w:cs="Avenir Next LT Pro" w:eastAsia="Avenir Next LT Pro" w:hAnsi="Avenir Next LT Pro"/>
          <w:color w:val="0F141C"/>
          <w:sz w:val="20"/>
          <w:szCs w:val="20"/>
        </w:rPr>
        <w:t xml:space="preserve">Every unit must pass all checks. A unit with any unchecked item is not releasable.</w:t>
      </w:r>
    </w:p>
    <w:p>
      <w:pPr>
        <w:pStyle w:val="Heading2"/>
        <w:keepNext/>
        <w:keepLines/>
        <w:spacing w:after="120" w:before="280"/>
      </w:pPr>
      <w:r>
        <w:rPr>
          <w:rFonts w:ascii="Avenir Next LT Pro" w:cs="Avenir Next LT Pro" w:eastAsia="Avenir Next LT Pro" w:hAnsi="Avenir Next LT Pro"/>
          <w:b/>
          <w:bCs/>
          <w:color w:val="0F141C"/>
          <w:sz w:val="23"/>
          <w:szCs w:val="23"/>
        </w:rPr>
        <w:t xml:space="preserve">7.1  Electrical safety</w:t>
      </w:r>
    </w:p>
    <w:tbl>
      <w:tblPr>
        <w:tblW w:type="dxa" w:w="9746"/>
        <w:tblBorders>
          <w:top w:val="single" w:color="B8BFC6" w:sz="4"/>
          <w:left w:val="single" w:color="B8BFC6" w:sz="4"/>
          <w:bottom w:val="single" w:color="B8BFC6" w:sz="4"/>
          <w:right w:val="single" w:color="B8BFC6" w:sz="4"/>
          <w:insideH w:val="single" w:color="B8BFC6" w:sz="2"/>
          <w:insideV w:val="single" w:color="B8BFC6" w:sz="2"/>
        </w:tblBorders>
      </w:tblPr>
      <w:tblGrid>
        <w:gridCol w:w="767"/>
        <w:gridCol w:w="6570"/>
        <w:gridCol w:w="2409"/>
      </w:tblGrid>
      <w:tr>
        <w:trPr>
          <w:cantSplit/>
          <w:tblHeader/>
        </w:trPr>
        <w:tc>
          <w:tcPr>
            <w:tcW w:type="dxa" w:w="767"/>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
            </w:r>
          </w:p>
        </w:tc>
        <w:tc>
          <w:tcPr>
            <w:tcW w:type="dxa" w:w="6570"/>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Check</w:t>
            </w:r>
          </w:p>
        </w:tc>
        <w:tc>
          <w:tcPr>
            <w:tcW w:type="dxa" w:w="2409"/>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Result / initials</w:t>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Earth continuity from the mains inlet earth conductor to the PSU earth terminal</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No exposed mains conductor with psu_cover.stl fitted</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Gland tightened; cable will not pull out under hand load</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bl>
    <w:p>
      <w:pPr>
        <w:pStyle w:val="Heading2"/>
        <w:keepNext/>
        <w:keepLines/>
        <w:spacing w:after="120" w:before="280"/>
      </w:pPr>
      <w:r>
        <w:rPr>
          <w:rFonts w:ascii="Avenir Next LT Pro" w:cs="Avenir Next LT Pro" w:eastAsia="Avenir Next LT Pro" w:hAnsi="Avenir Next LT Pro"/>
          <w:b/>
          <w:bCs/>
          <w:color w:val="0F141C"/>
          <w:sz w:val="23"/>
          <w:szCs w:val="23"/>
        </w:rPr>
        <w:t xml:space="preserve">7.2  Power</w:t>
      </w:r>
    </w:p>
    <w:tbl>
      <w:tblPr>
        <w:tblW w:type="dxa" w:w="9746"/>
        <w:tblBorders>
          <w:top w:val="single" w:color="B8BFC6" w:sz="4"/>
          <w:left w:val="single" w:color="B8BFC6" w:sz="4"/>
          <w:bottom w:val="single" w:color="B8BFC6" w:sz="4"/>
          <w:right w:val="single" w:color="B8BFC6" w:sz="4"/>
          <w:insideH w:val="single" w:color="B8BFC6" w:sz="2"/>
          <w:insideV w:val="single" w:color="B8BFC6" w:sz="2"/>
        </w:tblBorders>
      </w:tblPr>
      <w:tblGrid>
        <w:gridCol w:w="767"/>
        <w:gridCol w:w="6570"/>
        <w:gridCol w:w="2409"/>
      </w:tblGrid>
      <w:tr>
        <w:trPr>
          <w:cantSplit/>
          <w:tblHeader/>
        </w:trPr>
        <w:tc>
          <w:tcPr>
            <w:tcW w:type="dxa" w:w="767"/>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
            </w:r>
          </w:p>
        </w:tc>
        <w:tc>
          <w:tcPr>
            <w:tcW w:type="dxa" w:w="6570"/>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Check</w:t>
            </w:r>
          </w:p>
        </w:tc>
        <w:tc>
          <w:tcPr>
            <w:tcW w:type="dxa" w:w="2409"/>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Result / initials</w:t>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12 V rail measured at the PCB input terminal — record value</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5 V rail measured at the DC-DC output — record value</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3.3 V rail present at the ESP32 module</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Rails hold during Wi-Fi transmit — no reset or AP dropout at power-up</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bl>
    <w:p>
      <w:pPr>
        <w:pStyle w:val="Heading2"/>
        <w:keepNext/>
        <w:keepLines/>
        <w:spacing w:after="120" w:before="280"/>
      </w:pPr>
      <w:r>
        <w:rPr>
          <w:rFonts w:ascii="Avenir Next LT Pro" w:cs="Avenir Next LT Pro" w:eastAsia="Avenir Next LT Pro" w:hAnsi="Avenir Next LT Pro"/>
          <w:b/>
          <w:bCs/>
          <w:color w:val="0F141C"/>
          <w:sz w:val="23"/>
          <w:szCs w:val="23"/>
        </w:rPr>
        <w:t xml:space="preserve">7.3  Firmware and connectivity</w:t>
      </w:r>
    </w:p>
    <w:tbl>
      <w:tblPr>
        <w:tblW w:type="dxa" w:w="9746"/>
        <w:tblBorders>
          <w:top w:val="single" w:color="B8BFC6" w:sz="4"/>
          <w:left w:val="single" w:color="B8BFC6" w:sz="4"/>
          <w:bottom w:val="single" w:color="B8BFC6" w:sz="4"/>
          <w:right w:val="single" w:color="B8BFC6" w:sz="4"/>
          <w:insideH w:val="single" w:color="B8BFC6" w:sz="2"/>
          <w:insideV w:val="single" w:color="B8BFC6" w:sz="2"/>
        </w:tblBorders>
      </w:tblPr>
      <w:tblGrid>
        <w:gridCol w:w="767"/>
        <w:gridCol w:w="6570"/>
        <w:gridCol w:w="2409"/>
      </w:tblGrid>
      <w:tr>
        <w:trPr>
          <w:cantSplit/>
          <w:tblHeader/>
        </w:trPr>
        <w:tc>
          <w:tcPr>
            <w:tcW w:type="dxa" w:w="767"/>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
            </w:r>
          </w:p>
        </w:tc>
        <w:tc>
          <w:tcPr>
            <w:tcW w:type="dxa" w:w="6570"/>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Check</w:t>
            </w:r>
          </w:p>
        </w:tc>
        <w:tc>
          <w:tcPr>
            <w:tcW w:type="dxa" w:w="2409"/>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Result / initials</w:t>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Setup AP "VibScope-&lt;serial&gt;" visible from at least 5 m with the enclosure closed</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Setup portal reachable at http://192.168.1.4</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/status reports configStorageHealthy = true</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/status reports watchdogActive = true</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/status reports mqttBufferReady = true</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/status reports telemetryMemoryHealthy = true</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AP password changed from the serial default and recorded in the build record</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bl>
    <w:p>
      <w:pPr>
        <w:pStyle w:val="Heading2"/>
        <w:keepNext/>
        <w:keepLines/>
        <w:spacing w:after="120" w:before="280"/>
      </w:pPr>
      <w:r>
        <w:rPr>
          <w:rFonts w:ascii="Avenir Next LT Pro" w:cs="Avenir Next LT Pro" w:eastAsia="Avenir Next LT Pro" w:hAnsi="Avenir Next LT Pro"/>
          <w:b/>
          <w:bCs/>
          <w:color w:val="0F141C"/>
          <w:sz w:val="23"/>
          <w:szCs w:val="23"/>
        </w:rPr>
        <w:t xml:space="preserve">7.4  Sensor and telemetry</w:t>
      </w:r>
    </w:p>
    <w:tbl>
      <w:tblPr>
        <w:tblW w:type="dxa" w:w="9746"/>
        <w:tblBorders>
          <w:top w:val="single" w:color="B8BFC6" w:sz="4"/>
          <w:left w:val="single" w:color="B8BFC6" w:sz="4"/>
          <w:bottom w:val="single" w:color="B8BFC6" w:sz="4"/>
          <w:right w:val="single" w:color="B8BFC6" w:sz="4"/>
          <w:insideH w:val="single" w:color="B8BFC6" w:sz="2"/>
          <w:insideV w:val="single" w:color="B8BFC6" w:sz="2"/>
        </w:tblBorders>
      </w:tblPr>
      <w:tblGrid>
        <w:gridCol w:w="767"/>
        <w:gridCol w:w="6570"/>
        <w:gridCol w:w="2409"/>
      </w:tblGrid>
      <w:tr>
        <w:trPr>
          <w:cantSplit/>
          <w:tblHeader/>
        </w:trPr>
        <w:tc>
          <w:tcPr>
            <w:tcW w:type="dxa" w:w="767"/>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
            </w:r>
          </w:p>
        </w:tc>
        <w:tc>
          <w:tcPr>
            <w:tcW w:type="dxa" w:w="6570"/>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Check</w:t>
            </w:r>
          </w:p>
        </w:tc>
        <w:tc>
          <w:tcPr>
            <w:tcW w:type="dxa" w:w="2409"/>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Result / initials</w:t>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Sensor profile uploaded and accepted</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Live readings present on all configured axes</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Frequency values above 100 Hz where the profile supports it</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Telemetry visible on the VibScope Server on topic sensors/&lt;deviceId&gt;/measurements</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MQTT reconnects automatically after broker interruption</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0F141C"/>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Sensor recovers automatically after disconnect and reconnect</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bl>
    <w:p>
      <w:pPr>
        <w:spacing w:after="200"/>
      </w:pPr>
    </w:p>
    <w:tbl>
      <w:tblPr>
        <w:tblW w:type="dxa" w:w="9746"/>
        <w:tblBorders>
          <w:top w:val="single" w:color="B8BFC6" w:sz="4"/>
          <w:left w:val="single" w:color="B8BFC6" w:sz="4"/>
          <w:bottom w:val="single" w:color="B8BFC6" w:sz="4"/>
          <w:right w:val="single" w:color="B8BFC6" w:sz="4"/>
          <w:insideH w:val="single" w:color="B8BFC6" w:sz="2"/>
          <w:insideV w:val="single" w:color="B8BFC6" w:sz="2"/>
        </w:tblBorders>
      </w:tblPr>
      <w:tblGrid>
        <w:gridCol w:w="2215"/>
        <w:gridCol w:w="2658"/>
        <w:gridCol w:w="2215"/>
        <w:gridCol w:w="2658"/>
      </w:tblGrid>
      <w:tr>
        <w:trPr>
          <w:cantSplit/>
          <w:tblHeader w:val="false"/>
        </w:trPr>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Built by</w:t>
            </w:r>
          </w:p>
        </w:tc>
        <w:tc>
          <w:tcPr>
            <w:tcW w:type="dxa" w:w="26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Date</w:t>
            </w:r>
          </w:p>
        </w:tc>
        <w:tc>
          <w:tcPr>
            <w:tcW w:type="dxa" w:w="26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Tested by</w:t>
            </w:r>
          </w:p>
        </w:tc>
        <w:tc>
          <w:tcPr>
            <w:tcW w:type="dxa" w:w="26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Date</w:t>
            </w:r>
          </w:p>
        </w:tc>
        <w:tc>
          <w:tcPr>
            <w:tcW w:type="dxa" w:w="26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Serial number</w:t>
            </w:r>
          </w:p>
        </w:tc>
        <w:tc>
          <w:tcPr>
            <w:tcW w:type="dxa" w:w="26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FW SHA-256</w:t>
            </w:r>
          </w:p>
        </w:tc>
        <w:tc>
          <w:tcPr>
            <w:tcW w:type="dxa" w:w="26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bl>
    <w:p>
      <w:pPr>
        <w:pStyle w:val="Heading1"/>
        <w:keepNext/>
        <w:keepLines/>
        <w:pBdr>
          <w:bottom w:val="single" w:color="B8BFC6" w:sz="8" w:space="6"/>
        </w:pBdr>
        <w:spacing w:after="160" w:before="360"/>
      </w:pPr>
      <w:r>
        <w:rPr>
          <w:rFonts w:ascii="Avenir Next LT Pro" w:cs="Avenir Next LT Pro" w:eastAsia="Avenir Next LT Pro" w:hAnsi="Avenir Next LT Pro"/>
          <w:b/>
          <w:bCs/>
          <w:color w:val="0F141C"/>
          <w:sz w:val="28"/>
          <w:szCs w:val="28"/>
        </w:rPr>
        <w:t xml:space="preserve">8.  Design Record</w:t>
      </w:r>
    </w:p>
    <w:p>
      <w:pPr>
        <w:pStyle w:val="Heading2"/>
        <w:keepNext/>
        <w:keepLines/>
        <w:spacing w:after="120" w:before="280"/>
      </w:pPr>
      <w:r>
        <w:rPr>
          <w:rFonts w:ascii="Avenir Next LT Pro" w:cs="Avenir Next LT Pro" w:eastAsia="Avenir Next LT Pro" w:hAnsi="Avenir Next LT Pro"/>
          <w:b/>
          <w:bCs/>
          <w:color w:val="0F141C"/>
          <w:sz w:val="23"/>
          <w:szCs w:val="23"/>
        </w:rPr>
        <w:t xml:space="preserve">8.1  Enclosure material</w:t>
      </w:r>
    </w:p>
    <w:p>
      <w:pPr>
        <w:spacing w:after="120" w:before="0" w:line="276"/>
      </w:pPr>
      <w:r>
        <w:rPr>
          <w:rFonts w:ascii="Avenir Next LT Pro" w:cs="Avenir Next LT Pro" w:eastAsia="Avenir Next LT Pro" w:hAnsi="Avenir Next LT Pro"/>
          <w:color w:val="0F141C"/>
          <w:sz w:val="20"/>
          <w:szCs w:val="20"/>
        </w:rPr>
        <w:t xml:space="preserve">HT-PLA was selected over standard PLA because the enclosure contains an open-frame mains supply and may be deployed near rotating plant. Standard PLA softens close to typical enclosure internal temperatures. The heat rating depends on annealing being performed per the filament data sheet — an un-annealed HT-PLA part does not carry the rated performance.</w:t>
      </w:r>
    </w:p>
    <w:p>
      <w:pPr>
        <w:pStyle w:val="Heading2"/>
        <w:keepNext/>
        <w:keepLines/>
        <w:spacing w:after="120" w:before="280"/>
      </w:pPr>
      <w:r>
        <w:rPr>
          <w:rFonts w:ascii="Avenir Next LT Pro" w:cs="Avenir Next LT Pro" w:eastAsia="Avenir Next LT Pro" w:hAnsi="Avenir Next LT Pro"/>
          <w:b/>
          <w:bCs/>
          <w:color w:val="0F141C"/>
          <w:sz w:val="23"/>
          <w:szCs w:val="23"/>
        </w:rPr>
        <w:t xml:space="preserve">8.2  Why the 12 V rail is stepped down by a switching converter</w:t>
      </w:r>
    </w:p>
    <w:p>
      <w:pPr>
        <w:spacing w:after="120" w:before="0" w:line="276"/>
      </w:pPr>
      <w:r>
        <w:rPr>
          <w:rFonts w:ascii="Avenir Next LT Pro" w:cs="Avenir Next LT Pro" w:eastAsia="Avenir Next LT Pro" w:hAnsi="Avenir Next LT Pro"/>
          <w:color w:val="0F141C"/>
          <w:sz w:val="20"/>
          <w:szCs w:val="20"/>
        </w:rPr>
        <w:t xml:space="preserve">The Murata OKI-78SR is a switching regulator, not a linear one, and this is deliberate. A linear regulator dropping 12 V to 5 V at the ESP32 Wi-Fi transmit current of 250–350 mA would dissipate on the order of 2.5 W in a small package and enter thermal shutdown when the radio transmits. The failure presentation is misleading: the unit boots and appears healthy, then the access point fails to come up.</w:t>
      </w:r>
    </w:p>
    <w:p>
      <w:pPr>
        <w:spacing w:after="120" w:before="0" w:line="276"/>
      </w:pPr>
      <w:r>
        <w:rPr>
          <w:rFonts w:ascii="Avenir Next LT Pro" w:cs="Avenir Next LT Pro" w:eastAsia="Avenir Next LT Pro" w:hAnsi="Avenir Next LT Pro"/>
          <w:color w:val="0F141C"/>
          <w:sz w:val="20"/>
          <w:szCs w:val="20"/>
        </w:rPr>
        <w:t xml:space="preserve">Any future substitution must preserve switching topology and a current rating of at least 1 A. Do not substitute a linear regulator.</w:t>
      </w:r>
    </w:p>
    <w:p>
      <w:pPr>
        <w:pStyle w:val="Heading2"/>
        <w:keepNext/>
        <w:keepLines/>
        <w:spacing w:after="120" w:before="280"/>
      </w:pPr>
      <w:r>
        <w:rPr>
          <w:rFonts w:ascii="Avenir Next LT Pro" w:cs="Avenir Next LT Pro" w:eastAsia="Avenir Next LT Pro" w:hAnsi="Avenir Next LT Pro"/>
          <w:b/>
          <w:bCs/>
          <w:color w:val="0F141C"/>
          <w:sz w:val="23"/>
          <w:szCs w:val="23"/>
        </w:rPr>
        <w:t xml:space="preserve">8.3  Why the RS-485 interface is isolated</w:t>
      </w:r>
    </w:p>
    <w:p>
      <w:pPr>
        <w:spacing w:after="120" w:before="0" w:line="276"/>
      </w:pPr>
      <w:r>
        <w:rPr>
          <w:rFonts w:ascii="Avenir Next LT Pro" w:cs="Avenir Next LT Pro" w:eastAsia="Avenir Next LT Pro" w:hAnsi="Avenir Next LT Pro"/>
          <w:color w:val="0F141C"/>
          <w:sz w:val="20"/>
          <w:szCs w:val="20"/>
        </w:rPr>
        <w:t xml:space="preserve">The sensor cable can run a significant distance across plant with a different ground reference at each end. A non-isolated transceiver would place that potential difference across the controller. Galvanic isolation confines a cabling fault to a replaceable module.</w:t>
      </w:r>
    </w:p>
    <w:p>
      <w:pPr>
        <w:pStyle w:val="Heading2"/>
        <w:keepNext/>
        <w:keepLines/>
        <w:spacing w:after="120" w:before="280"/>
      </w:pPr>
      <w:r>
        <w:rPr>
          <w:rFonts w:ascii="Avenir Next LT Pro" w:cs="Avenir Next LT Pro" w:eastAsia="Avenir Next LT Pro" w:hAnsi="Avenir Next LT Pro"/>
          <w:b/>
          <w:bCs/>
          <w:color w:val="0F141C"/>
          <w:sz w:val="23"/>
          <w:szCs w:val="23"/>
        </w:rPr>
        <w:t xml:space="preserve">8.4  Why the WROOM-32U variant</w:t>
      </w:r>
    </w:p>
    <w:p>
      <w:pPr>
        <w:spacing w:after="120" w:before="0" w:line="276"/>
      </w:pPr>
      <w:r>
        <w:rPr>
          <w:rFonts w:ascii="Avenir Next LT Pro" w:cs="Avenir Next LT Pro" w:eastAsia="Avenir Next LT Pro" w:hAnsi="Avenir Next LT Pro"/>
          <w:color w:val="0F141C"/>
          <w:sz w:val="20"/>
          <w:szCs w:val="20"/>
        </w:rPr>
        <w:t xml:space="preserve">The "U" variant terminates in a U.FL connector and has no PCB antenna. This allows the antenna to be positioned outside a metal or dense enclosure. It carries a consequence that must be respected in production: with no antenna fitted, or with the U.FL not fully seated, the module still initialises and appears to work at bench range while being effectively deaf in the field. The antenna check in §6.2 exists for this reason.</w:t>
      </w:r>
    </w:p>
    <w:p>
      <w:pPr>
        <w:pStyle w:val="Heading1"/>
        <w:keepNext/>
        <w:keepLines/>
        <w:pBdr>
          <w:bottom w:val="single" w:color="B8BFC6" w:sz="8" w:space="6"/>
        </w:pBdr>
        <w:spacing w:after="160" w:before="360"/>
      </w:pPr>
      <w:r>
        <w:rPr>
          <w:rFonts w:ascii="Avenir Next LT Pro" w:cs="Avenir Next LT Pro" w:eastAsia="Avenir Next LT Pro" w:hAnsi="Avenir Next LT Pro"/>
          <w:b/>
          <w:bCs/>
          <w:color w:val="0F141C"/>
          <w:sz w:val="28"/>
          <w:szCs w:val="28"/>
        </w:rPr>
        <w:t xml:space="preserve">9.  Open Items</w:t>
      </w:r>
    </w:p>
    <w:p>
      <w:pPr>
        <w:spacing w:after="120" w:before="0" w:line="276"/>
      </w:pPr>
      <w:r>
        <w:rPr>
          <w:rFonts w:ascii="Avenir Next LT Pro" w:cs="Avenir Next LT Pro" w:eastAsia="Avenir Next LT Pro" w:hAnsi="Avenir Next LT Pro"/>
          <w:color w:val="0F141C"/>
          <w:sz w:val="20"/>
          <w:szCs w:val="20"/>
        </w:rPr>
        <w:t xml:space="preserve">The following must be closed before series production. Each is referenced from its section.</w:t>
      </w:r>
    </w:p>
    <w:tbl>
      <w:tblPr>
        <w:tblW w:type="dxa" w:w="9746"/>
        <w:tblBorders>
          <w:top w:val="single" w:color="B8BFC6" w:sz="4"/>
          <w:left w:val="single" w:color="B8BFC6" w:sz="4"/>
          <w:bottom w:val="single" w:color="B8BFC6" w:sz="4"/>
          <w:right w:val="single" w:color="B8BFC6" w:sz="4"/>
          <w:insideH w:val="single" w:color="B8BFC6" w:sz="2"/>
          <w:insideV w:val="single" w:color="B8BFC6" w:sz="2"/>
        </w:tblBorders>
      </w:tblPr>
      <w:tblGrid>
        <w:gridCol w:w="937"/>
        <w:gridCol w:w="2249"/>
        <w:gridCol w:w="4873"/>
        <w:gridCol w:w="1687"/>
      </w:tblGrid>
      <w:tr>
        <w:trPr>
          <w:cantSplit/>
          <w:tblHeader/>
        </w:trPr>
        <w:tc>
          <w:tcPr>
            <w:tcW w:type="dxa" w:w="937"/>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w:t>
            </w:r>
          </w:p>
        </w:tc>
        <w:tc>
          <w:tcPr>
            <w:tcW w:type="dxa" w:w="2249"/>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Section</w:t>
            </w:r>
          </w:p>
        </w:tc>
        <w:tc>
          <w:tcPr>
            <w:tcW w:type="dxa" w:w="4873"/>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Item</w:t>
            </w:r>
          </w:p>
        </w:tc>
        <w:tc>
          <w:tcPr>
            <w:tcW w:type="dxa" w:w="1687"/>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Owner / due</w:t>
            </w:r>
          </w:p>
        </w:tc>
      </w:tr>
      <w:tr>
        <w:trPr>
          <w:cantSplit/>
          <w:tblHeader w:val="false"/>
        </w:trPr>
        <w:tc>
          <w:tcPr>
            <w:tcW w:type="dxa" w:w="9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1</w:t>
            </w:r>
          </w:p>
        </w:tc>
        <w:tc>
          <w:tcPr>
            <w:tcW w:type="dxa" w:w="2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§2.2</w:t>
            </w:r>
          </w:p>
        </w:tc>
        <w:tc>
          <w:tcPr>
            <w:tcW w:type="dxa" w:w="487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Fix and record print orientation and support strategy for all three parts</w:t>
            </w:r>
          </w:p>
        </w:tc>
        <w:tc>
          <w:tcPr>
            <w:tcW w:type="dxa" w:w="168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9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2</w:t>
            </w:r>
          </w:p>
        </w:tc>
        <w:tc>
          <w:tcPr>
            <w:tcW w:type="dxa" w:w="2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§2.3</w:t>
            </w:r>
          </w:p>
        </w:tc>
        <w:tc>
          <w:tcPr>
            <w:tcW w:type="dxa" w:w="487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Confirm brass insert quantity and per-location breakdown</w:t>
            </w:r>
          </w:p>
        </w:tc>
        <w:tc>
          <w:tcPr>
            <w:tcW w:type="dxa" w:w="168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9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3</w:t>
            </w:r>
          </w:p>
        </w:tc>
        <w:tc>
          <w:tcPr>
            <w:tcW w:type="dxa" w:w="2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§3.1</w:t>
            </w:r>
          </w:p>
        </w:tc>
        <w:tc>
          <w:tcPr>
            <w:tcW w:type="dxa" w:w="487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Confirm USB-UART bridge part number ("C2012" unresolved)</w:t>
            </w:r>
          </w:p>
        </w:tc>
        <w:tc>
          <w:tcPr>
            <w:tcW w:type="dxa" w:w="168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9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4</w:t>
            </w:r>
          </w:p>
        </w:tc>
        <w:tc>
          <w:tcPr>
            <w:tcW w:type="dxa" w:w="2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§4.2</w:t>
            </w:r>
          </w:p>
        </w:tc>
        <w:tc>
          <w:tcPr>
            <w:tcW w:type="dxa" w:w="487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Define and record the M12 4-pin signal assignment — blocks cable assembly</w:t>
            </w:r>
          </w:p>
        </w:tc>
        <w:tc>
          <w:tcPr>
            <w:tcW w:type="dxa" w:w="168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9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5</w:t>
            </w:r>
          </w:p>
        </w:tc>
        <w:tc>
          <w:tcPr>
            <w:tcW w:type="dxa" w:w="2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§3</w:t>
            </w:r>
          </w:p>
        </w:tc>
        <w:tc>
          <w:tcPr>
            <w:tcW w:type="dxa" w:w="487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Populate BOM unit costs from actual purchase orders</w:t>
            </w:r>
          </w:p>
        </w:tc>
        <w:tc>
          <w:tcPr>
            <w:tcW w:type="dxa" w:w="168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9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6</w:t>
            </w:r>
          </w:p>
        </w:tc>
        <w:tc>
          <w:tcPr>
            <w:tcW w:type="dxa" w:w="2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§2.2</w:t>
            </w:r>
          </w:p>
        </w:tc>
        <w:tc>
          <w:tcPr>
            <w:tcW w:type="dxa" w:w="487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Confirm annealing schedule and add to the print process table</w:t>
            </w:r>
          </w:p>
        </w:tc>
        <w:tc>
          <w:tcPr>
            <w:tcW w:type="dxa" w:w="168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bl>
    <w:p>
      <w:pPr>
        <w:pStyle w:val="Heading1"/>
        <w:keepNext/>
        <w:keepLines/>
        <w:pBdr>
          <w:bottom w:val="single" w:color="B8BFC6" w:sz="8" w:space="6"/>
        </w:pBdr>
        <w:spacing w:after="160" w:before="360"/>
      </w:pPr>
      <w:r>
        <w:rPr>
          <w:rFonts w:ascii="Avenir Next LT Pro" w:cs="Avenir Next LT Pro" w:eastAsia="Avenir Next LT Pro" w:hAnsi="Avenir Next LT Pro"/>
          <w:b/>
          <w:bCs/>
          <w:color w:val="0F141C"/>
          <w:sz w:val="28"/>
          <w:szCs w:val="28"/>
        </w:rPr>
        <w:t xml:space="preserve">10.  Revision History</w:t>
      </w:r>
    </w:p>
    <w:tbl>
      <w:tblPr>
        <w:tblW w:type="dxa" w:w="9746"/>
        <w:tblBorders>
          <w:top w:val="single" w:color="B8BFC6" w:sz="4"/>
          <w:left w:val="single" w:color="B8BFC6" w:sz="4"/>
          <w:bottom w:val="single" w:color="B8BFC6" w:sz="4"/>
          <w:right w:val="single" w:color="B8BFC6" w:sz="4"/>
          <w:insideH w:val="single" w:color="B8BFC6" w:sz="2"/>
          <w:insideV w:val="single" w:color="B8BFC6" w:sz="2"/>
        </w:tblBorders>
      </w:tblPr>
      <w:tblGrid>
        <w:gridCol w:w="1240"/>
        <w:gridCol w:w="1772"/>
        <w:gridCol w:w="4962"/>
        <w:gridCol w:w="1772"/>
      </w:tblGrid>
      <w:tr>
        <w:trPr>
          <w:cantSplit/>
          <w:tblHeader/>
        </w:trPr>
        <w:tc>
          <w:tcPr>
            <w:tcW w:type="dxa" w:w="1240"/>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Rev</w:t>
            </w:r>
          </w:p>
        </w:tc>
        <w:tc>
          <w:tcPr>
            <w:tcW w:type="dxa" w:w="1772"/>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Date</w:t>
            </w:r>
          </w:p>
        </w:tc>
        <w:tc>
          <w:tcPr>
            <w:tcW w:type="dxa" w:w="4962"/>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Description</w:t>
            </w:r>
          </w:p>
        </w:tc>
        <w:tc>
          <w:tcPr>
            <w:tcW w:type="dxa" w:w="1772"/>
            <w:shd w:fill="ECF1F5"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0F141C"/>
                <w:sz w:val="18"/>
                <w:szCs w:val="18"/>
              </w:rPr>
              <w:t xml:space="preserve">Approved</w:t>
            </w:r>
          </w:p>
        </w:tc>
      </w:tr>
      <w:tr>
        <w:trPr>
          <w:cantSplit/>
          <w:tblHeader w:val="false"/>
        </w:trPr>
        <w:tc>
          <w:tcPr>
            <w:tcW w:type="dxa" w:w="124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A</w:t>
            </w:r>
          </w:p>
        </w:tc>
        <w:tc>
          <w:tcPr>
            <w:tcW w:type="dxa" w:w="177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29 July 2026</w:t>
            </w:r>
          </w:p>
        </w:tc>
        <w:tc>
          <w:tcPr>
            <w:tcW w:type="dxa" w:w="4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Initial issue. Compiled from the source build list, released STL geometry and firmware v1.8.5-live-readings.</w:t>
            </w:r>
          </w:p>
        </w:tc>
        <w:tc>
          <w:tcPr>
            <w:tcW w:type="dxa" w:w="177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124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177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4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177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r>
        <w:trPr>
          <w:cantSplit/>
          <w:tblHeader w:val="false"/>
        </w:trPr>
        <w:tc>
          <w:tcPr>
            <w:tcW w:type="dxa" w:w="124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177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4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c>
          <w:tcPr>
            <w:tcW w:type="dxa" w:w="177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0F141C"/>
                <w:sz w:val="18"/>
                <w:szCs w:val="18"/>
              </w:rPr>
              <w:t xml:space="preserve"/>
            </w:r>
          </w:p>
        </w:tc>
      </w:tr>
    </w:tbl>
    <w:p>
      <w:pPr>
        <w:spacing w:after="300"/>
      </w:pPr>
    </w:p>
    <w:p>
      <w:pPr>
        <w:spacing w:after="120" w:before="0" w:line="276"/>
        <w:jc w:val="center"/>
      </w:pPr>
      <w:r>
        <w:rPr>
          <w:rFonts w:ascii="Avenir Next LT Pro" w:cs="Avenir Next LT Pro" w:eastAsia="Avenir Next LT Pro" w:hAnsi="Avenir Next LT Pro"/>
          <w:i/>
          <w:iCs/>
          <w:color w:val="5F7388"/>
          <w:sz w:val="20"/>
          <w:szCs w:val="20"/>
        </w:rPr>
        <w:t xml:space="preserve">— End of document —</w:t>
      </w:r>
    </w:p>
    <w:sectPr>
      <w:headerReference w:type="default" r:id="rId7"/>
      <w:footerReference w:type="default" r:id="rId8"/>
      <w:pgSz w:w="11906" w:h="16838" w:orient="portrait"/>
      <w:pgMar w:top="1400" w:right="1080" w:bottom="118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BFC6" w:sz="6" w:space="6"/>
      </w:pBdr>
      <w:spacing w:before="80"/>
    </w:pPr>
    <w:r>
      <w:rPr>
        <w:rFonts w:ascii="Avenir Next LT Pro" w:cs="Avenir Next LT Pro" w:eastAsia="Avenir Next LT Pro" w:hAnsi="Avenir Next LT Pro"/>
        <w:color w:val="5F7388"/>
        <w:sz w:val="15"/>
        <w:szCs w:val="15"/>
      </w:rPr>
      <w:t xml:space="preserve">Strictly Confidential — property of Akiharu Scientific and Engineering. Do not distribute.   </w:t>
    </w:r>
    <w:r>
      <w:rPr>
        <w:rFonts w:ascii="Avenir Next LT Pro" w:cs="Avenir Next LT Pro" w:eastAsia="Avenir Next LT Pro" w:hAnsi="Avenir Next LT Pro"/>
        <w:color w:val="5F7388"/>
        <w:sz w:val="15"/>
        <w:szCs w:val="15"/>
      </w:rPr>
      <w:t xml:space="preserve">Page </w:t>
    </w:r>
    <w:r>
      <w:rPr>
        <w:rFonts w:ascii="Avenir Next LT Pro" w:cs="Avenir Next LT Pro" w:eastAsia="Avenir Next LT Pro" w:hAnsi="Avenir Next LT Pro"/>
        <w:color w:val="5F7388"/>
        <w:sz w:val="15"/>
        <w:szCs w:val="15"/>
      </w:rPr>
      <w:fldChar w:fldCharType="begin"/>
      <w:instrText xml:space="preserve">PAGE</w:instrText>
      <w:fldChar w:fldCharType="separate"/>
      <w:fldChar w:fldCharType="end"/>
    </w:r>
    <w:r>
      <w:rPr>
        <w:rFonts w:ascii="Avenir Next LT Pro" w:cs="Avenir Next LT Pro" w:eastAsia="Avenir Next LT Pro" w:hAnsi="Avenir Next LT Pro"/>
        <w:color w:val="5F7388"/>
        <w:sz w:val="15"/>
        <w:szCs w:val="15"/>
      </w:rPr>
      <w:t xml:space="preserve"> of </w:t>
    </w:r>
    <w:r>
      <w:rPr>
        <w:rFonts w:ascii="Avenir Next LT Pro" w:cs="Avenir Next LT Pro" w:eastAsia="Avenir Next LT Pro" w:hAnsi="Avenir Next LT Pro"/>
        <w:color w:val="5F73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left w:val="none"/>
        <w:bottom w:val="single" w:color="B8BFC6" w:sz="6"/>
        <w:right w:val="none"/>
        <w:insideH w:val="none"/>
        <w:insideV w:val="none"/>
      </w:tblBorders>
    </w:tblPr>
    <w:tblGrid>
      <w:gridCol w:w="900"/>
      <w:gridCol w:w="8846"/>
    </w:tblGrid>
    <w:tr>
      <w:tc>
        <w:tcPr>
          <w:tcW w:type="dxa" w:w="900"/>
          <w:tcMar>
            <w:top w:type="dxa" w:w="60"/>
            <w:left w:type="dxa" w:w="0"/>
            <w:bottom w:type="dxa" w:w="60"/>
            <w:right w:type="dxa" w:w="120"/>
          </w:tcMar>
          <w:vAlign w:val="center"/>
        </w:tcPr>
        <w:p>
          <w:pPr>
            <w:spacing w:after="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323850"/>
                        </a:xfrm>
                        <a:prstGeom prst="rect">
                          <a:avLst/>
                        </a:prstGeom>
                      </pic:spPr>
                    </pic:pic>
                  </a:graphicData>
                </a:graphic>
              </wp:inline>
            </w:drawing>
          </w:r>
        </w:p>
      </w:tc>
      <w:tc>
        <w:tcPr>
          <w:tcW w:type="dxa" w:w="8846"/>
          <w:tcMar>
            <w:top w:type="dxa" w:w="60"/>
            <w:left w:type="dxa" w:w="0"/>
            <w:bottom w:type="dxa" w:w="60"/>
            <w:right w:type="dxa" w:w="0"/>
          </w:tcMar>
          <w:vAlign w:val="center"/>
        </w:tcPr>
        <w:p>
          <w:pPr>
            <w:spacing w:after="0"/>
          </w:pPr>
          <w:r>
            <w:rPr>
              <w:rFonts w:ascii="Space Grotesk" w:cs="Space Grotesk" w:eastAsia="Space Grotesk" w:hAnsi="Space Grotesk"/>
              <w:b/>
              <w:bCs/>
              <w:color w:val="0F141C"/>
              <w:spacing w:val="10"/>
              <w:sz w:val="19"/>
              <w:szCs w:val="19"/>
            </w:rPr>
            <w:t xml:space="preserve">AKIHARU SCIENTIFIC AND ENGINEERING</w:t>
          </w:r>
        </w:p>
        <w:p>
          <w:pPr>
            <w:spacing w:after="0"/>
          </w:pPr>
          <w:r>
            <w:rPr>
              <w:rFonts w:ascii="Avenir Next LT Pro" w:cs="Avenir Next LT Pro" w:eastAsia="Avenir Next LT Pro" w:hAnsi="Avenir Next LT Pro"/>
              <w:b/>
              <w:bCs/>
              <w:color w:val="95433D"/>
              <w:sz w:val="16"/>
              <w:szCs w:val="16"/>
            </w:rPr>
            <w:t xml:space="preserve">STRICTLY CONFIDENTIAL  —  VibScope Sensor Node Manufacturing Recipe</w:t>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venir Next LT Pro" w:cs="Avenir Next LT Pro" w:eastAsia="Avenir Next LT Pro" w:hAnsi="Avenir Next LT Pro"/>
        <w:color w:val="0F14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6694818feda075c6c18bb505e4ea645d4fd64b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6694818feda075c6c18bb505e4ea645d4fd64b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VibScope Sensor Node — Manufacturing Recipe &amp; Design Record</dc:title>
  <dc:creator>Akiharu Scientific and Engineering</dc:creator>
  <dc:description>STRICTLY CONFIDENTIAL</dc:description>
  <cp:lastModifiedBy>Un-named</cp:lastModifiedBy>
  <cp:revision>1</cp:revision>
  <dcterms:created xsi:type="dcterms:W3CDTF">2026-07-29T13:27:41.953Z</dcterms:created>
  <dcterms:modified xsi:type="dcterms:W3CDTF">2026-07-29T13:27:41.955Z</dcterms:modified>
</cp:coreProperties>
</file>

<file path=docProps/custom.xml><?xml version="1.0" encoding="utf-8"?>
<Properties xmlns="http://schemas.openxmlformats.org/officeDocument/2006/custom-properties" xmlns:vt="http://schemas.openxmlformats.org/officeDocument/2006/docPropsVTypes"/>
</file>