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00"/>
        <w:jc w:val="center"/>
      </w:pPr>
      <w:r>
        <w:drawing>
          <wp:inline distT="0" distB="0" distL="0" distR="0">
            <wp:extent cx="1047750" cy="1047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047750" cy="1047750"/>
                    </a:xfrm>
                    <a:prstGeom prst="rect">
                      <a:avLst/>
                    </a:prstGeom>
                  </pic:spPr>
                </pic:pic>
              </a:graphicData>
            </a:graphic>
          </wp:inline>
        </w:drawing>
      </w:r>
    </w:p>
    <w:p>
      <w:pPr>
        <w:spacing w:after="60" w:before="0" w:line="276"/>
        <w:jc w:val="center"/>
      </w:pPr>
      <w:r>
        <w:rPr>
          <w:rFonts w:ascii="Space Grotesk" w:cs="Space Grotesk" w:eastAsia="Space Grotesk" w:hAnsi="Space Grotesk"/>
          <w:b/>
          <w:bCs/>
          <w:color w:val="1A1A1A"/>
          <w:spacing w:val="24"/>
          <w:sz w:val="30"/>
          <w:szCs w:val="30"/>
        </w:rPr>
        <w:t xml:space="preserve">AKIHARU SCIENTIFIC AND ENGINEERING</w:t>
      </w:r>
    </w:p>
    <w:p>
      <w:pPr>
        <w:spacing w:after="700" w:before="0" w:line="276"/>
        <w:jc w:val="center"/>
      </w:pPr>
      <w:r>
        <w:rPr>
          <w:rFonts w:ascii="Avenir Next LT Pro" w:cs="Avenir Next LT Pro" w:eastAsia="Avenir Next LT Pro" w:hAnsi="Avenir Next LT Pro"/>
          <w:color w:val="5C5955"/>
          <w:sz w:val="18"/>
          <w:szCs w:val="18"/>
        </w:rPr>
        <w:t xml:space="preserve">Precision Instrumentation  ·  Condition Monitoring Systems</w:t>
      </w:r>
    </w:p>
    <w:p>
      <w:pPr>
        <w:pBdr>
          <w:top w:val="single" w:color="A63A17" w:sz="12" w:space="10"/>
        </w:pBdr>
        <w:spacing w:after="100"/>
        <w:jc w:val="center"/>
      </w:pPr>
    </w:p>
    <w:p>
      <w:pPr>
        <w:spacing w:after="80" w:before="0" w:line="276"/>
        <w:jc w:val="center"/>
      </w:pPr>
      <w:r>
        <w:rPr>
          <w:rFonts w:ascii="Space Grotesk" w:cs="Space Grotesk" w:eastAsia="Space Grotesk" w:hAnsi="Space Grotesk"/>
          <w:b/>
          <w:bCs/>
          <w:color w:val="1A1A1A"/>
          <w:spacing w:val="16"/>
          <w:sz w:val="40"/>
          <w:szCs w:val="40"/>
        </w:rPr>
        <w:t xml:space="preserve">VIBSCOPE SENSOR NODE</w:t>
      </w:r>
    </w:p>
    <w:p>
      <w:pPr>
        <w:spacing w:after="100" w:before="0" w:line="276"/>
        <w:jc w:val="center"/>
      </w:pPr>
      <w:r>
        <w:rPr>
          <w:rFonts w:ascii="Avenir Next LT Pro" w:cs="Avenir Next LT Pro" w:eastAsia="Avenir Next LT Pro" w:hAnsi="Avenir Next LT Pro"/>
          <w:color w:val="5C5955"/>
          <w:sz w:val="24"/>
          <w:szCs w:val="24"/>
        </w:rPr>
        <w:t xml:space="preserve">Manufacturing Recipe &amp; Design Record</w:t>
      </w:r>
    </w:p>
    <w:p>
      <w:pPr>
        <w:pBdr>
          <w:bottom w:val="single" w:color="A63A17" w:sz="12" w:space="10"/>
        </w:pBdr>
        <w:spacing w:after="640"/>
        <w:jc w:val="center"/>
      </w:pPr>
    </w:p>
    <w:tbl>
      <w:tblPr>
        <w:tblW w:type="dxa" w:w="9746"/>
        <w:tblBorders>
          <w:top w:val="single" w:color="BFBBB4" w:sz="4"/>
          <w:left w:val="single" w:color="BFBBB4" w:sz="4"/>
          <w:bottom w:val="single" w:color="BFBBB4" w:sz="4"/>
          <w:right w:val="single" w:color="BFBBB4" w:sz="4"/>
          <w:insideH w:val="single" w:color="BFBBB4" w:sz="2"/>
          <w:insideV w:val="single" w:color="BFBBB4" w:sz="2"/>
        </w:tblBorders>
      </w:tblPr>
      <w:tblGrid>
        <w:gridCol w:w="3249"/>
        <w:gridCol w:w="6497"/>
      </w:tblGrid>
      <w:tr>
        <w:trPr>
          <w:cantSplit/>
          <w:tblHeader w:val="false"/>
        </w:trPr>
        <w:tc>
          <w:tcPr>
            <w:tcW w:type="dxa" w:w="3249"/>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bCs/>
                <w:color w:val="1A1A1A"/>
                <w:sz w:val="18"/>
                <w:szCs w:val="18"/>
              </w:rPr>
              <w:t xml:space="preserve">Document Number</w:t>
            </w:r>
          </w:p>
        </w:tc>
        <w:tc>
          <w:tcPr>
            <w:tcW w:type="dxa" w:w="6497"/>
            <w:tcMar>
              <w:top w:type="dxa" w:w="70"/>
              <w:left w:type="dxa" w:w="100"/>
              <w:bottom w:type="dxa" w:w="70"/>
              <w:right w:type="dxa" w:w="100"/>
            </w:tcMar>
            <w:vAlign w:val="center"/>
          </w:tcPr>
          <w:p>
            <w:pPr>
              <w:spacing w:after="0" w:line="252"/>
            </w:pPr>
            <w:r>
              <w:rPr>
                <w:rFonts w:ascii="Consolas" w:cs="Consolas" w:eastAsia="Consolas" w:hAnsi="Consolas"/>
                <w:b w:val="false"/>
                <w:bCs w:val="false"/>
                <w:color w:val="1A1A1A"/>
                <w:sz w:val="18"/>
                <w:szCs w:val="18"/>
              </w:rPr>
              <w:t xml:space="preserve">AKI-VS-MR-001</w:t>
            </w:r>
          </w:p>
        </w:tc>
      </w:tr>
      <w:tr>
        <w:trPr>
          <w:cantSplit/>
          <w:tblHeader w:val="false"/>
        </w:trPr>
        <w:tc>
          <w:tcPr>
            <w:tcW w:type="dxa" w:w="3249"/>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bCs/>
                <w:color w:val="1A1A1A"/>
                <w:sz w:val="18"/>
                <w:szCs w:val="18"/>
              </w:rPr>
              <w:t xml:space="preserve">Revision</w:t>
            </w:r>
          </w:p>
        </w:tc>
        <w:tc>
          <w:tcPr>
            <w:tcW w:type="dxa" w:w="6497"/>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1A1A1A"/>
                <w:sz w:val="18"/>
                <w:szCs w:val="18"/>
              </w:rPr>
              <w:t xml:space="preserve">A  (initial issue)</w:t>
            </w:r>
          </w:p>
        </w:tc>
      </w:tr>
      <w:tr>
        <w:trPr>
          <w:cantSplit/>
          <w:tblHeader w:val="false"/>
        </w:trPr>
        <w:tc>
          <w:tcPr>
            <w:tcW w:type="dxa" w:w="3249"/>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bCs/>
                <w:color w:val="1A1A1A"/>
                <w:sz w:val="18"/>
                <w:szCs w:val="18"/>
              </w:rPr>
              <w:t xml:space="preserve">Issue Date</w:t>
            </w:r>
          </w:p>
        </w:tc>
        <w:tc>
          <w:tcPr>
            <w:tcW w:type="dxa" w:w="6497"/>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1A1A1A"/>
                <w:sz w:val="18"/>
                <w:szCs w:val="18"/>
              </w:rPr>
              <w:t xml:space="preserve">29 July 2026</w:t>
            </w:r>
          </w:p>
        </w:tc>
      </w:tr>
      <w:tr>
        <w:trPr>
          <w:cantSplit/>
          <w:tblHeader w:val="false"/>
        </w:trPr>
        <w:tc>
          <w:tcPr>
            <w:tcW w:type="dxa" w:w="3249"/>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bCs/>
                <w:color w:val="1A1A1A"/>
                <w:sz w:val="18"/>
                <w:szCs w:val="18"/>
              </w:rPr>
              <w:t xml:space="preserve">Product</w:t>
            </w:r>
          </w:p>
        </w:tc>
        <w:tc>
          <w:tcPr>
            <w:tcW w:type="dxa" w:w="6497"/>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1A1A1A"/>
                <w:sz w:val="18"/>
                <w:szCs w:val="18"/>
              </w:rPr>
              <w:t xml:space="preserve">VibScope Sensor Node — ESP32 / RS-485 Modbus RTU vibration monitoring endpoint</w:t>
            </w:r>
          </w:p>
        </w:tc>
      </w:tr>
      <w:tr>
        <w:trPr>
          <w:cantSplit/>
          <w:tblHeader w:val="false"/>
        </w:trPr>
        <w:tc>
          <w:tcPr>
            <w:tcW w:type="dxa" w:w="3249"/>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bCs/>
                <w:color w:val="1A1A1A"/>
                <w:sz w:val="18"/>
                <w:szCs w:val="18"/>
              </w:rPr>
              <w:t xml:space="preserve">Firmware Baseline</w:t>
            </w:r>
          </w:p>
        </w:tc>
        <w:tc>
          <w:tcPr>
            <w:tcW w:type="dxa" w:w="6497"/>
            <w:tcMar>
              <w:top w:type="dxa" w:w="70"/>
              <w:left w:type="dxa" w:w="100"/>
              <w:bottom w:type="dxa" w:w="70"/>
              <w:right w:type="dxa" w:w="100"/>
            </w:tcMar>
            <w:vAlign w:val="center"/>
          </w:tcPr>
          <w:p>
            <w:pPr>
              <w:spacing w:after="0" w:line="252"/>
            </w:pPr>
            <w:r>
              <w:rPr>
                <w:rFonts w:ascii="Consolas" w:cs="Consolas" w:eastAsia="Consolas" w:hAnsi="Consolas"/>
                <w:b w:val="false"/>
                <w:bCs w:val="false"/>
                <w:color w:val="1A1A1A"/>
                <w:sz w:val="18"/>
                <w:szCs w:val="18"/>
              </w:rPr>
              <w:t xml:space="preserve">VibScope Controller v1.8.5-live-readings</w:t>
            </w:r>
          </w:p>
        </w:tc>
      </w:tr>
      <w:tr>
        <w:trPr>
          <w:cantSplit/>
          <w:tblHeader w:val="false"/>
        </w:trPr>
        <w:tc>
          <w:tcPr>
            <w:tcW w:type="dxa" w:w="3249"/>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bCs/>
                <w:color w:val="1A1A1A"/>
                <w:sz w:val="18"/>
                <w:szCs w:val="18"/>
              </w:rPr>
              <w:t xml:space="preserve">Enclosure Revision</w:t>
            </w:r>
          </w:p>
        </w:tc>
        <w:tc>
          <w:tcPr>
            <w:tcW w:type="dxa" w:w="6497"/>
            <w:tcMar>
              <w:top w:type="dxa" w:w="70"/>
              <w:left w:type="dxa" w:w="100"/>
              <w:bottom w:type="dxa" w:w="70"/>
              <w:right w:type="dxa" w:w="100"/>
            </w:tcMar>
            <w:vAlign w:val="center"/>
          </w:tcPr>
          <w:p>
            <w:pPr>
              <w:spacing w:after="0" w:line="252"/>
            </w:pPr>
            <w:r>
              <w:rPr>
                <w:rFonts w:ascii="Consolas" w:cs="Consolas" w:eastAsia="Consolas" w:hAnsi="Consolas"/>
                <w:b w:val="false"/>
                <w:bCs w:val="false"/>
                <w:color w:val="1A1A1A"/>
                <w:sz w:val="18"/>
                <w:szCs w:val="18"/>
              </w:rPr>
              <w:t xml:space="preserve">main.stl · back_cover.stl · psu_cover.stl</w:t>
            </w:r>
          </w:p>
        </w:tc>
      </w:tr>
      <w:tr>
        <w:trPr>
          <w:cantSplit/>
          <w:tblHeader w:val="false"/>
        </w:trPr>
        <w:tc>
          <w:tcPr>
            <w:tcW w:type="dxa" w:w="3249"/>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bCs/>
                <w:color w:val="1A1A1A"/>
                <w:sz w:val="18"/>
                <w:szCs w:val="18"/>
              </w:rPr>
              <w:t xml:space="preserve">Classification</w:t>
            </w:r>
          </w:p>
        </w:tc>
        <w:tc>
          <w:tcPr>
            <w:tcW w:type="dxa" w:w="6497"/>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bCs/>
                <w:color w:val="A63A17"/>
                <w:sz w:val="18"/>
                <w:szCs w:val="18"/>
              </w:rPr>
              <w:t xml:space="preserve">STRICTLY CONFIDENTIAL</w:t>
            </w:r>
          </w:p>
        </w:tc>
      </w:tr>
      <w:tr>
        <w:trPr>
          <w:cantSplit/>
          <w:tblHeader w:val="false"/>
        </w:trPr>
        <w:tc>
          <w:tcPr>
            <w:tcW w:type="dxa" w:w="3249"/>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bCs/>
                <w:color w:val="1A1A1A"/>
                <w:sz w:val="18"/>
                <w:szCs w:val="18"/>
              </w:rPr>
              <w:t xml:space="preserve">Prepared By</w:t>
            </w:r>
          </w:p>
        </w:tc>
        <w:tc>
          <w:tcPr>
            <w:tcW w:type="dxa" w:w="6497"/>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1A1A1A"/>
                <w:sz w:val="18"/>
                <w:szCs w:val="18"/>
              </w:rPr>
              <w:t xml:space="preserve"/>
            </w:r>
          </w:p>
        </w:tc>
      </w:tr>
      <w:tr>
        <w:trPr>
          <w:cantSplit/>
          <w:tblHeader w:val="false"/>
        </w:trPr>
        <w:tc>
          <w:tcPr>
            <w:tcW w:type="dxa" w:w="3249"/>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bCs/>
                <w:color w:val="1A1A1A"/>
                <w:sz w:val="18"/>
                <w:szCs w:val="18"/>
              </w:rPr>
              <w:t xml:space="preserve">Approved By</w:t>
            </w:r>
          </w:p>
        </w:tc>
        <w:tc>
          <w:tcPr>
            <w:tcW w:type="dxa" w:w="6497"/>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1A1A1A"/>
                <w:sz w:val="18"/>
                <w:szCs w:val="18"/>
              </w:rPr>
              <w:t xml:space="preserve"/>
            </w:r>
          </w:p>
        </w:tc>
      </w:tr>
    </w:tbl>
    <w:p>
      <w:pPr>
        <w:spacing w:after="400"/>
      </w:pPr>
    </w:p>
    <w:tbl>
      <w:tblPr>
        <w:tblW w:type="dxa" w:w="9746"/>
        <w:tblBorders>
          <w:top w:val="single" w:color="A63A17" w:sz="4"/>
          <w:left w:val="single" w:color="A63A17" w:sz="18"/>
          <w:bottom w:val="single" w:color="A63A17" w:sz="4"/>
          <w:right w:val="single" w:color="A63A17" w:sz="4"/>
          <w:insideH w:val="none"/>
          <w:insideV w:val="none"/>
        </w:tblBorders>
      </w:tblPr>
      <w:tblGrid>
        <w:gridCol w:w="9746"/>
      </w:tblGrid>
      <w:tr>
        <w:trPr>
          <w:cantSplit/>
        </w:trPr>
        <w:tc>
          <w:tcPr>
            <w:tcW w:type="dxa" w:w="9746"/>
            <w:shd w:fill="FBEEE9" w:color="auto" w:val="clear"/>
            <w:tcMar>
              <w:top w:type="dxa" w:w="120"/>
              <w:left w:type="dxa" w:w="160"/>
              <w:bottom w:type="dxa" w:w="120"/>
              <w:right w:type="dxa" w:w="160"/>
            </w:tcMar>
          </w:tcPr>
          <w:p>
            <w:pPr>
              <w:spacing w:after="60"/>
            </w:pPr>
            <w:r>
              <w:rPr>
                <w:rFonts w:ascii="Avenir Next LT Pro" w:cs="Avenir Next LT Pro" w:eastAsia="Avenir Next LT Pro" w:hAnsi="Avenir Next LT Pro"/>
                <w:b/>
                <w:bCs/>
                <w:color w:val="A63A17"/>
                <w:sz w:val="19"/>
                <w:szCs w:val="19"/>
              </w:rPr>
              <w:t xml:space="preserve">CONFIDENTIALITY NOTICE</w:t>
            </w:r>
          </w:p>
          <w:p>
            <w:pPr>
              <w:spacing w:after="60" w:line="264"/>
            </w:pPr>
            <w:r>
              <w:rPr>
                <w:rFonts w:ascii="Avenir Next LT Pro" w:cs="Avenir Next LT Pro" w:eastAsia="Avenir Next LT Pro" w:hAnsi="Avenir Next LT Pro"/>
                <w:color w:val="1A1A1A"/>
                <w:sz w:val="19"/>
                <w:szCs w:val="19"/>
              </w:rPr>
              <w:t xml:space="preserve">This document is the exclusive property of Akiharu Scientific and Engineering. It contains proprietary design, sourcing and process information constituting a trade secret.</w:t>
            </w:r>
          </w:p>
          <w:p>
            <w:pPr>
              <w:spacing w:after="60" w:line="264"/>
            </w:pPr>
            <w:r>
              <w:rPr>
                <w:rFonts w:ascii="Avenir Next LT Pro" w:cs="Avenir Next LT Pro" w:eastAsia="Avenir Next LT Pro" w:hAnsi="Avenir Next LT Pro"/>
                <w:color w:val="1A1A1A"/>
                <w:sz w:val="19"/>
                <w:szCs w:val="19"/>
              </w:rPr>
              <w:t xml:space="preserve">Disclosure, reproduction or transmission in whole or in part, by any means, without prior written authorisation of a Company director is strictly prohibited. Recipients are bound by the terms of their non-disclosure agreement.</w:t>
            </w:r>
          </w:p>
          <w:p>
            <w:pPr>
              <w:spacing w:after="60" w:line="264"/>
            </w:pPr>
            <w:r>
              <w:rPr>
                <w:rFonts w:ascii="Avenir Next LT Pro" w:cs="Avenir Next LT Pro" w:eastAsia="Avenir Next LT Pro" w:hAnsi="Avenir Next LT Pro"/>
                <w:color w:val="1A1A1A"/>
                <w:sz w:val="19"/>
                <w:szCs w:val="19"/>
              </w:rPr>
              <w:t xml:space="preserve">Uncontrolled once printed. Verify revision against the master register before use.</w:t>
            </w:r>
          </w:p>
        </w:tc>
      </w:tr>
    </w:tbl>
    <w:p>
      <w:r>
        <w:br w:type="page"/>
      </w:r>
    </w:p>
    <w:p>
      <w:pPr>
        <w:pStyle w:val="Heading1"/>
        <w:keepNext/>
        <w:keepLines/>
        <w:pBdr>
          <w:bottom w:val="single" w:color="BFBBB4" w:sz="8" w:space="6"/>
        </w:pBdr>
        <w:spacing w:after="160" w:before="360"/>
      </w:pPr>
      <w:r>
        <w:rPr>
          <w:rFonts w:ascii="Avenir Next LT Pro" w:cs="Avenir Next LT Pro" w:eastAsia="Avenir Next LT Pro" w:hAnsi="Avenir Next LT Pro"/>
          <w:b/>
          <w:bCs/>
          <w:color w:val="1A1A1A"/>
          <w:sz w:val="28"/>
          <w:szCs w:val="28"/>
        </w:rPr>
        <w:t xml:space="preserve">Contents</w:t>
      </w:r>
    </w:p>
    <w:p>
      <w:pPr>
        <w:spacing w:after="200" w:before="0" w:line="276"/>
      </w:pPr>
      <w:r>
        <w:rPr>
          <w:rFonts w:ascii="Avenir Next LT Pro" w:cs="Avenir Next LT Pro" w:eastAsia="Avenir Next LT Pro" w:hAnsi="Avenir Next LT Pro"/>
          <w:i/>
          <w:iCs/>
          <w:color w:val="5C5955"/>
          <w:sz w:val="17"/>
          <w:szCs w:val="17"/>
        </w:rPr>
        <w:t xml:space="preserve">If this page appears blank, select the field and press F9 to build the table of 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keepNext/>
        <w:keepLines/>
        <w:pBdr>
          <w:bottom w:val="single" w:color="BFBBB4" w:sz="8" w:space="6"/>
        </w:pBdr>
        <w:spacing w:after="160" w:before="360"/>
      </w:pPr>
      <w:r>
        <w:rPr>
          <w:rFonts w:ascii="Avenir Next LT Pro" w:cs="Avenir Next LT Pro" w:eastAsia="Avenir Next LT Pro" w:hAnsi="Avenir Next LT Pro"/>
          <w:b/>
          <w:bCs/>
          <w:color w:val="1A1A1A"/>
          <w:sz w:val="28"/>
          <w:szCs w:val="28"/>
        </w:rPr>
        <w:t xml:space="preserve">1.  Purpose and Scope</w:t>
      </w:r>
    </w:p>
    <w:p>
      <w:pPr>
        <w:spacing w:after="120" w:before="0" w:line="276"/>
      </w:pPr>
      <w:r>
        <w:rPr>
          <w:rFonts w:ascii="Avenir Next LT Pro" w:cs="Avenir Next LT Pro" w:eastAsia="Avenir Next LT Pro" w:hAnsi="Avenir Next LT Pro"/>
          <w:color w:val="1A1A1A"/>
          <w:sz w:val="20"/>
          <w:szCs w:val="20"/>
        </w:rPr>
        <w:t xml:space="preserve">This document is the single controlled source for building one VibScope Sensor Node. It combines the design record — what the product is and why each component was selected — with the assembly procedure a technician follows to produce a unit.</w:t>
      </w:r>
    </w:p>
    <w:p>
      <w:pPr>
        <w:spacing w:after="120" w:before="0" w:line="276"/>
      </w:pPr>
      <w:r>
        <w:rPr>
          <w:rFonts w:ascii="Avenir Next LT Pro" w:cs="Avenir Next LT Pro" w:eastAsia="Avenir Next LT Pro" w:hAnsi="Avenir Next LT Pro"/>
          <w:color w:val="1A1A1A"/>
          <w:sz w:val="20"/>
          <w:szCs w:val="20"/>
        </w:rPr>
        <w:t xml:space="preserve">It covers the node only. The VibScope Server dashboard, the MQTT broker and the sensor itself are separate deliverables and are referenced here only at their interfaces.</w:t>
      </w:r>
    </w:p>
    <w:p>
      <w:pPr>
        <w:pStyle w:val="Heading2"/>
        <w:keepNext/>
        <w:keepLines/>
        <w:spacing w:after="120" w:before="280"/>
      </w:pPr>
      <w:r>
        <w:rPr>
          <w:rFonts w:ascii="Avenir Next LT Pro" w:cs="Avenir Next LT Pro" w:eastAsia="Avenir Next LT Pro" w:hAnsi="Avenir Next LT Pro"/>
          <w:b/>
          <w:bCs/>
          <w:color w:val="1A1A1A"/>
          <w:sz w:val="23"/>
          <w:szCs w:val="23"/>
        </w:rPr>
        <w:t xml:space="preserve">1.1  Product summary</w:t>
      </w:r>
    </w:p>
    <w:p>
      <w:pPr>
        <w:spacing w:after="120" w:before="0" w:line="276"/>
      </w:pPr>
      <w:r>
        <w:rPr>
          <w:rFonts w:ascii="Avenir Next LT Pro" w:cs="Avenir Next LT Pro" w:eastAsia="Avenir Next LT Pro" w:hAnsi="Avenir Next LT Pro"/>
          <w:color w:val="1A1A1A"/>
          <w:sz w:val="20"/>
          <w:szCs w:val="20"/>
        </w:rPr>
        <w:t xml:space="preserve">The VibScope Sensor Node is a mains-powered, enclosure-mounted controller that interrogates a Modbus RTU vibration sensor over an isolated RS-485 link, converts the readings to a normalised telemetry schema, and publishes them over Wi-Fi via MQTT to the VibScope Server.</w:t>
      </w:r>
    </w:p>
    <w:p>
      <w:pPr>
        <w:spacing w:after="120" w:before="0" w:line="276"/>
      </w:pPr>
      <w:r>
        <w:rPr>
          <w:rFonts w:ascii="Avenir Next LT Pro" w:cs="Avenir Next LT Pro" w:eastAsia="Avenir Next LT Pro" w:hAnsi="Avenir Next LT Pro"/>
          <w:color w:val="1A1A1A"/>
          <w:sz w:val="20"/>
          <w:szCs w:val="20"/>
        </w:rPr>
        <w:t xml:space="preserve">A WPA2-protected setup access point is permanently available so the unit can be commissioned and re-configured in the field without a console cable.</w:t>
      </w:r>
    </w:p>
    <w:p>
      <w:pPr>
        <w:pStyle w:val="Heading2"/>
        <w:keepNext/>
        <w:keepLines/>
        <w:spacing w:after="120" w:before="280"/>
      </w:pPr>
      <w:r>
        <w:rPr>
          <w:rFonts w:ascii="Avenir Next LT Pro" w:cs="Avenir Next LT Pro" w:eastAsia="Avenir Next LT Pro" w:hAnsi="Avenir Next LT Pro"/>
          <w:b/>
          <w:bCs/>
          <w:color w:val="1A1A1A"/>
          <w:sz w:val="23"/>
          <w:szCs w:val="23"/>
        </w:rPr>
        <w:t xml:space="preserve">1.2  Signal chain</w:t>
      </w:r>
    </w:p>
    <w:tbl>
      <w:tblPr>
        <w:tblW w:type="dxa" w:w="9746"/>
        <w:tblBorders>
          <w:top w:val="single" w:color="BFBBB4" w:sz="4"/>
          <w:left w:val="single" w:color="BFBBB4" w:sz="4"/>
          <w:bottom w:val="single" w:color="BFBBB4" w:sz="4"/>
          <w:right w:val="single" w:color="BFBBB4" w:sz="4"/>
          <w:insideH w:val="single" w:color="BFBBB4" w:sz="2"/>
          <w:insideV w:val="single" w:color="BFBBB4" w:sz="2"/>
        </w:tblBorders>
      </w:tblPr>
      <w:tblGrid>
        <w:gridCol w:w="2897"/>
        <w:gridCol w:w="6849"/>
      </w:tblGrid>
      <w:tr>
        <w:trPr>
          <w:cantSplit/>
          <w:tblHeader/>
        </w:trPr>
        <w:tc>
          <w:tcPr>
            <w:tcW w:type="dxa" w:w="2897"/>
            <w:shd w:fill="E8E6E1" w:color="auto" w:val="clear"/>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bCs/>
                <w:color w:val="1A1A1A"/>
                <w:sz w:val="18"/>
                <w:szCs w:val="18"/>
              </w:rPr>
              <w:t xml:space="preserve">Stage</w:t>
            </w:r>
          </w:p>
        </w:tc>
        <w:tc>
          <w:tcPr>
            <w:tcW w:type="dxa" w:w="6849"/>
            <w:shd w:fill="E8E6E1" w:color="auto" w:val="clear"/>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bCs/>
                <w:color w:val="1A1A1A"/>
                <w:sz w:val="18"/>
                <w:szCs w:val="18"/>
              </w:rPr>
              <w:t xml:space="preserve">Function</w:t>
            </w:r>
          </w:p>
        </w:tc>
      </w:tr>
      <w:tr>
        <w:trPr>
          <w:cantSplit/>
          <w:tblHeader w:val="false"/>
        </w:trPr>
        <w:tc>
          <w:tcPr>
            <w:tcW w:type="dxa" w:w="2897"/>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1A1A1A"/>
                <w:sz w:val="18"/>
                <w:szCs w:val="18"/>
              </w:rPr>
              <w:t xml:space="preserve">Sensor</w:t>
            </w:r>
          </w:p>
        </w:tc>
        <w:tc>
          <w:tcPr>
            <w:tcW w:type="dxa" w:w="6849"/>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1A1A1A"/>
                <w:sz w:val="18"/>
                <w:szCs w:val="18"/>
              </w:rPr>
              <w:t xml:space="preserve">Modbus RTU vibration sensor — acceleration, velocity, displacement, frequency and temperature registers</w:t>
            </w:r>
          </w:p>
        </w:tc>
      </w:tr>
      <w:tr>
        <w:trPr>
          <w:cantSplit/>
          <w:tblHeader w:val="false"/>
        </w:trPr>
        <w:tc>
          <w:tcPr>
            <w:tcW w:type="dxa" w:w="2897"/>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1A1A1A"/>
                <w:sz w:val="18"/>
                <w:szCs w:val="18"/>
              </w:rPr>
              <w:t xml:space="preserve">M12 4-pin</w:t>
            </w:r>
          </w:p>
        </w:tc>
        <w:tc>
          <w:tcPr>
            <w:tcW w:type="dxa" w:w="6849"/>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1A1A1A"/>
                <w:sz w:val="18"/>
                <w:szCs w:val="18"/>
              </w:rPr>
              <w:t xml:space="preserve">Field-serviceable sensor interface carrying sensor power and the RS-485 differential pair</w:t>
            </w:r>
          </w:p>
        </w:tc>
      </w:tr>
      <w:tr>
        <w:trPr>
          <w:cantSplit/>
          <w:tblHeader w:val="false"/>
        </w:trPr>
        <w:tc>
          <w:tcPr>
            <w:tcW w:type="dxa" w:w="2897"/>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1A1A1A"/>
                <w:sz w:val="18"/>
                <w:szCs w:val="18"/>
              </w:rPr>
              <w:t xml:space="preserve">RS-485 isolation</w:t>
            </w:r>
          </w:p>
        </w:tc>
        <w:tc>
          <w:tcPr>
            <w:tcW w:type="dxa" w:w="6849"/>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1A1A1A"/>
                <w:sz w:val="18"/>
                <w:szCs w:val="18"/>
              </w:rPr>
              <w:t xml:space="preserve">Galvanically isolated RS-485 ⇄ TTL module — protects the controller from ground-potential differences on plant cabling</w:t>
            </w:r>
          </w:p>
        </w:tc>
      </w:tr>
      <w:tr>
        <w:trPr>
          <w:cantSplit/>
          <w:tblHeader w:val="false"/>
        </w:trPr>
        <w:tc>
          <w:tcPr>
            <w:tcW w:type="dxa" w:w="2897"/>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1A1A1A"/>
                <w:sz w:val="18"/>
                <w:szCs w:val="18"/>
              </w:rPr>
              <w:t xml:space="preserve">ESP32-WROOM-32U</w:t>
            </w:r>
          </w:p>
        </w:tc>
        <w:tc>
          <w:tcPr>
            <w:tcW w:type="dxa" w:w="6849"/>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1A1A1A"/>
                <w:sz w:val="18"/>
                <w:szCs w:val="18"/>
              </w:rPr>
              <w:t xml:space="preserve">Modbus master, unit conversion, threshold evaluation, MQTT client, setup web server</w:t>
            </w:r>
          </w:p>
        </w:tc>
      </w:tr>
      <w:tr>
        <w:trPr>
          <w:cantSplit/>
          <w:tblHeader w:val="false"/>
        </w:trPr>
        <w:tc>
          <w:tcPr>
            <w:tcW w:type="dxa" w:w="2897"/>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1A1A1A"/>
                <w:sz w:val="18"/>
                <w:szCs w:val="18"/>
              </w:rPr>
              <w:t xml:space="preserve">Wi-Fi (AP + STA)</w:t>
            </w:r>
          </w:p>
        </w:tc>
        <w:tc>
          <w:tcPr>
            <w:tcW w:type="dxa" w:w="6849"/>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1A1A1A"/>
                <w:sz w:val="18"/>
                <w:szCs w:val="18"/>
              </w:rPr>
              <w:t xml:space="preserve">Simultaneous setup AP and station connection to the plant network</w:t>
            </w:r>
          </w:p>
        </w:tc>
      </w:tr>
      <w:tr>
        <w:trPr>
          <w:cantSplit/>
          <w:tblHeader w:val="false"/>
        </w:trPr>
        <w:tc>
          <w:tcPr>
            <w:tcW w:type="dxa" w:w="2897"/>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1A1A1A"/>
                <w:sz w:val="18"/>
                <w:szCs w:val="18"/>
              </w:rPr>
              <w:t xml:space="preserve">MQTT</w:t>
            </w:r>
          </w:p>
        </w:tc>
        <w:tc>
          <w:tcPr>
            <w:tcW w:type="dxa" w:w="6849"/>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1A1A1A"/>
                <w:sz w:val="18"/>
                <w:szCs w:val="18"/>
              </w:rPr>
              <w:t xml:space="preserve">Normalised JSON published to the VibScope Server</w:t>
            </w:r>
          </w:p>
        </w:tc>
      </w:tr>
    </w:tbl>
    <w:p>
      <w:pPr>
        <w:pStyle w:val="Heading2"/>
        <w:keepNext/>
        <w:keepLines/>
        <w:spacing w:after="120" w:before="280"/>
      </w:pPr>
      <w:r>
        <w:rPr>
          <w:rFonts w:ascii="Avenir Next LT Pro" w:cs="Avenir Next LT Pro" w:eastAsia="Avenir Next LT Pro" w:hAnsi="Avenir Next LT Pro"/>
          <w:b/>
          <w:bCs/>
          <w:color w:val="1A1A1A"/>
          <w:sz w:val="23"/>
          <w:szCs w:val="23"/>
        </w:rPr>
        <w:t xml:space="preserve">1.3  Power architecture</w:t>
      </w:r>
    </w:p>
    <w:p>
      <w:pPr>
        <w:spacing w:after="120" w:before="0" w:line="276"/>
      </w:pPr>
      <w:r>
        <w:rPr>
          <w:rFonts w:ascii="Avenir Next LT Pro" w:cs="Avenir Next LT Pro" w:eastAsia="Avenir Next LT Pro" w:hAnsi="Avenir Next LT Pro"/>
          <w:color w:val="1A1A1A"/>
          <w:sz w:val="20"/>
          <w:szCs w:val="20"/>
        </w:rPr>
        <w:t xml:space="preserve">Mains is converted once, then stepped down by a switching regulator. No linear regulator carries the Wi-Fi transmit current — this is a deliberate design decision recorded in §8.2.</w:t>
      </w:r>
    </w:p>
    <w:tbl>
      <w:tblPr>
        <w:tblW w:type="dxa" w:w="9746"/>
        <w:tblBorders>
          <w:top w:val="single" w:color="BFBBB4" w:sz="4"/>
          <w:left w:val="single" w:color="BFBBB4" w:sz="4"/>
          <w:bottom w:val="single" w:color="BFBBB4" w:sz="4"/>
          <w:right w:val="single" w:color="BFBBB4" w:sz="4"/>
          <w:insideH w:val="single" w:color="BFBBB4" w:sz="2"/>
          <w:insideV w:val="single" w:color="BFBBB4" w:sz="2"/>
        </w:tblBorders>
      </w:tblPr>
      <w:tblGrid>
        <w:gridCol w:w="2119"/>
        <w:gridCol w:w="2119"/>
        <w:gridCol w:w="2119"/>
        <w:gridCol w:w="3389"/>
      </w:tblGrid>
      <w:tr>
        <w:trPr>
          <w:cantSplit/>
          <w:tblHeader/>
        </w:trPr>
        <w:tc>
          <w:tcPr>
            <w:tcW w:type="dxa" w:w="2119"/>
            <w:shd w:fill="E8E6E1" w:color="auto" w:val="clear"/>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bCs/>
                <w:color w:val="1A1A1A"/>
                <w:sz w:val="18"/>
                <w:szCs w:val="18"/>
              </w:rPr>
              <w:t xml:space="preserve">Stage</w:t>
            </w:r>
          </w:p>
        </w:tc>
        <w:tc>
          <w:tcPr>
            <w:tcW w:type="dxa" w:w="2119"/>
            <w:shd w:fill="E8E6E1" w:color="auto" w:val="clear"/>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bCs/>
                <w:color w:val="1A1A1A"/>
                <w:sz w:val="18"/>
                <w:szCs w:val="18"/>
              </w:rPr>
              <w:t xml:space="preserve">In</w:t>
            </w:r>
          </w:p>
        </w:tc>
        <w:tc>
          <w:tcPr>
            <w:tcW w:type="dxa" w:w="2119"/>
            <w:shd w:fill="E8E6E1" w:color="auto" w:val="clear"/>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bCs/>
                <w:color w:val="1A1A1A"/>
                <w:sz w:val="18"/>
                <w:szCs w:val="18"/>
              </w:rPr>
              <w:t xml:space="preserve">Out</w:t>
            </w:r>
          </w:p>
        </w:tc>
        <w:tc>
          <w:tcPr>
            <w:tcW w:type="dxa" w:w="3389"/>
            <w:shd w:fill="E8E6E1" w:color="auto" w:val="clear"/>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bCs/>
                <w:color w:val="1A1A1A"/>
                <w:sz w:val="18"/>
                <w:szCs w:val="18"/>
              </w:rPr>
              <w:t xml:space="preserve">Device</w:t>
            </w:r>
          </w:p>
        </w:tc>
      </w:tr>
      <w:tr>
        <w:trPr>
          <w:cantSplit/>
          <w:tblHeader w:val="false"/>
        </w:trPr>
        <w:tc>
          <w:tcPr>
            <w:tcW w:type="dxa" w:w="2119"/>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1A1A1A"/>
                <w:sz w:val="18"/>
                <w:szCs w:val="18"/>
              </w:rPr>
              <w:t xml:space="preserve">1 — AC/DC</w:t>
            </w:r>
          </w:p>
        </w:tc>
        <w:tc>
          <w:tcPr>
            <w:tcW w:type="dxa" w:w="2119"/>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1A1A1A"/>
                <w:sz w:val="18"/>
                <w:szCs w:val="18"/>
              </w:rPr>
              <w:t xml:space="preserve">85–264 VAC</w:t>
            </w:r>
          </w:p>
        </w:tc>
        <w:tc>
          <w:tcPr>
            <w:tcW w:type="dxa" w:w="2119"/>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1A1A1A"/>
                <w:sz w:val="18"/>
                <w:szCs w:val="18"/>
              </w:rPr>
              <w:t xml:space="preserve">12 V, 1.3 A</w:t>
            </w:r>
          </w:p>
        </w:tc>
        <w:tc>
          <w:tcPr>
            <w:tcW w:type="dxa" w:w="3389"/>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1A1A1A"/>
                <w:sz w:val="18"/>
                <w:szCs w:val="18"/>
              </w:rPr>
              <w:t xml:space="preserve">Mean Well RS-15-12 (15.6 W enclosed)</w:t>
            </w:r>
          </w:p>
        </w:tc>
      </w:tr>
      <w:tr>
        <w:trPr>
          <w:cantSplit/>
          <w:tblHeader w:val="false"/>
        </w:trPr>
        <w:tc>
          <w:tcPr>
            <w:tcW w:type="dxa" w:w="2119"/>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1A1A1A"/>
                <w:sz w:val="18"/>
                <w:szCs w:val="18"/>
              </w:rPr>
              <w:t xml:space="preserve">2 — DC/DC</w:t>
            </w:r>
          </w:p>
        </w:tc>
        <w:tc>
          <w:tcPr>
            <w:tcW w:type="dxa" w:w="2119"/>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1A1A1A"/>
                <w:sz w:val="18"/>
                <w:szCs w:val="18"/>
              </w:rPr>
              <w:t xml:space="preserve">12 V</w:t>
            </w:r>
          </w:p>
        </w:tc>
        <w:tc>
          <w:tcPr>
            <w:tcW w:type="dxa" w:w="2119"/>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1A1A1A"/>
                <w:sz w:val="18"/>
                <w:szCs w:val="18"/>
              </w:rPr>
              <w:t xml:space="preserve">5 V, 1.5 A</w:t>
            </w:r>
          </w:p>
        </w:tc>
        <w:tc>
          <w:tcPr>
            <w:tcW w:type="dxa" w:w="3389"/>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1A1A1A"/>
                <w:sz w:val="18"/>
                <w:szCs w:val="18"/>
              </w:rPr>
              <w:t xml:space="preserve">Murata OKI-78SR-5/1.5-W36-C (switching, ~90% eff.)</w:t>
            </w:r>
          </w:p>
        </w:tc>
      </w:tr>
      <w:tr>
        <w:trPr>
          <w:cantSplit/>
          <w:tblHeader w:val="false"/>
        </w:trPr>
        <w:tc>
          <w:tcPr>
            <w:tcW w:type="dxa" w:w="2119"/>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1A1A1A"/>
                <w:sz w:val="18"/>
                <w:szCs w:val="18"/>
              </w:rPr>
              <w:t xml:space="preserve">3 — Logic</w:t>
            </w:r>
          </w:p>
        </w:tc>
        <w:tc>
          <w:tcPr>
            <w:tcW w:type="dxa" w:w="2119"/>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1A1A1A"/>
                <w:sz w:val="18"/>
                <w:szCs w:val="18"/>
              </w:rPr>
              <w:t xml:space="preserve">5 V</w:t>
            </w:r>
          </w:p>
        </w:tc>
        <w:tc>
          <w:tcPr>
            <w:tcW w:type="dxa" w:w="2119"/>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1A1A1A"/>
                <w:sz w:val="18"/>
                <w:szCs w:val="18"/>
              </w:rPr>
              <w:t xml:space="preserve">3.3 V</w:t>
            </w:r>
          </w:p>
        </w:tc>
        <w:tc>
          <w:tcPr>
            <w:tcW w:type="dxa" w:w="3389"/>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1A1A1A"/>
                <w:sz w:val="18"/>
                <w:szCs w:val="18"/>
              </w:rPr>
              <w:t xml:space="preserve">On-module regulator, ESP32 carrier</w:t>
            </w:r>
          </w:p>
        </w:tc>
      </w:tr>
      <w:tr>
        <w:trPr>
          <w:cantSplit/>
          <w:tblHeader w:val="false"/>
        </w:trPr>
        <w:tc>
          <w:tcPr>
            <w:tcW w:type="dxa" w:w="2119"/>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1A1A1A"/>
                <w:sz w:val="18"/>
                <w:szCs w:val="18"/>
              </w:rPr>
              <w:t xml:space="preserve">Sensor</w:t>
            </w:r>
          </w:p>
        </w:tc>
        <w:tc>
          <w:tcPr>
            <w:tcW w:type="dxa" w:w="2119"/>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1A1A1A"/>
                <w:sz w:val="18"/>
                <w:szCs w:val="18"/>
              </w:rPr>
              <w:t xml:space="preserve">12 V</w:t>
            </w:r>
          </w:p>
        </w:tc>
        <w:tc>
          <w:tcPr>
            <w:tcW w:type="dxa" w:w="2119"/>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1A1A1A"/>
                <w:sz w:val="18"/>
                <w:szCs w:val="18"/>
              </w:rPr>
              <w:t xml:space="preserve">12 V</w:t>
            </w:r>
          </w:p>
        </w:tc>
        <w:tc>
          <w:tcPr>
            <w:tcW w:type="dxa" w:w="3389"/>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1A1A1A"/>
                <w:sz w:val="18"/>
                <w:szCs w:val="18"/>
              </w:rPr>
              <w:t xml:space="preserve">Fed direct from stage 1 via the M12 connector</w:t>
            </w:r>
          </w:p>
        </w:tc>
      </w:tr>
    </w:tbl>
    <w:p>
      <w:r>
        <w:br w:type="page"/>
      </w:r>
    </w:p>
    <w:p>
      <w:pPr>
        <w:pStyle w:val="Heading1"/>
        <w:keepNext/>
        <w:keepLines/>
        <w:pBdr>
          <w:bottom w:val="single" w:color="BFBBB4" w:sz="8" w:space="6"/>
        </w:pBdr>
        <w:spacing w:after="160" w:before="360"/>
      </w:pPr>
      <w:r>
        <w:rPr>
          <w:rFonts w:ascii="Avenir Next LT Pro" w:cs="Avenir Next LT Pro" w:eastAsia="Avenir Next LT Pro" w:hAnsi="Avenir Next LT Pro"/>
          <w:b/>
          <w:bCs/>
          <w:color w:val="1A1A1A"/>
          <w:sz w:val="28"/>
          <w:szCs w:val="28"/>
        </w:rPr>
        <w:t xml:space="preserve">2.  Mechanical Specification</w:t>
      </w:r>
    </w:p>
    <w:p>
      <w:pPr>
        <w:pStyle w:val="Heading2"/>
        <w:keepNext/>
        <w:keepLines/>
        <w:spacing w:after="120" w:before="280"/>
      </w:pPr>
      <w:r>
        <w:rPr>
          <w:rFonts w:ascii="Avenir Next LT Pro" w:cs="Avenir Next LT Pro" w:eastAsia="Avenir Next LT Pro" w:hAnsi="Avenir Next LT Pro"/>
          <w:b/>
          <w:bCs/>
          <w:color w:val="1A1A1A"/>
          <w:sz w:val="23"/>
          <w:szCs w:val="23"/>
        </w:rPr>
        <w:t xml:space="preserve">2.1  Printed parts</w:t>
      </w:r>
    </w:p>
    <w:p>
      <w:pPr>
        <w:spacing w:after="120" w:before="0" w:line="276"/>
      </w:pPr>
      <w:r>
        <w:rPr>
          <w:rFonts w:ascii="Avenir Next LT Pro" w:cs="Avenir Next LT Pro" w:eastAsia="Avenir Next LT Pro" w:hAnsi="Avenir Next LT Pro"/>
          <w:color w:val="1A1A1A"/>
          <w:sz w:val="20"/>
          <w:szCs w:val="20"/>
        </w:rPr>
        <w:t xml:space="preserve">Three printed parts form the enclosure. Dimensions and volumes below are measured directly from the released STL geometry and are the controlling values for print estimation.</w:t>
      </w:r>
    </w:p>
    <w:tbl>
      <w:tblPr>
        <w:tblW w:type="dxa" w:w="9746"/>
        <w:tblBorders>
          <w:top w:val="single" w:color="BFBBB4" w:sz="4"/>
          <w:left w:val="single" w:color="BFBBB4" w:sz="4"/>
          <w:bottom w:val="single" w:color="BFBBB4" w:sz="4"/>
          <w:right w:val="single" w:color="BFBBB4" w:sz="4"/>
          <w:insideH w:val="single" w:color="BFBBB4" w:sz="2"/>
          <w:insideV w:val="single" w:color="BFBBB4" w:sz="2"/>
        </w:tblBorders>
      </w:tblPr>
      <w:tblGrid>
        <w:gridCol w:w="2088"/>
        <w:gridCol w:w="2088"/>
        <w:gridCol w:w="1392"/>
        <w:gridCol w:w="1323"/>
        <w:gridCol w:w="1323"/>
        <w:gridCol w:w="1532"/>
      </w:tblGrid>
      <w:tr>
        <w:trPr>
          <w:cantSplit/>
          <w:tblHeader/>
        </w:trPr>
        <w:tc>
          <w:tcPr>
            <w:tcW w:type="dxa" w:w="2088"/>
            <w:shd w:fill="E8E6E1" w:color="auto" w:val="clear"/>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bCs/>
                <w:color w:val="1A1A1A"/>
                <w:sz w:val="18"/>
                <w:szCs w:val="18"/>
              </w:rPr>
              <w:t xml:space="preserve">Part file</w:t>
            </w:r>
          </w:p>
        </w:tc>
        <w:tc>
          <w:tcPr>
            <w:tcW w:type="dxa" w:w="2088"/>
            <w:shd w:fill="E8E6E1" w:color="auto" w:val="clear"/>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bCs/>
                <w:color w:val="1A1A1A"/>
                <w:sz w:val="18"/>
                <w:szCs w:val="18"/>
              </w:rPr>
              <w:t xml:space="preserve">Bounding box (mm)</w:t>
            </w:r>
          </w:p>
        </w:tc>
        <w:tc>
          <w:tcPr>
            <w:tcW w:type="dxa" w:w="1392"/>
            <w:shd w:fill="E8E6E1" w:color="auto" w:val="clear"/>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bCs/>
                <w:color w:val="1A1A1A"/>
                <w:sz w:val="18"/>
                <w:szCs w:val="18"/>
              </w:rPr>
              <w:t xml:space="preserve">Solid vol.</w:t>
            </w:r>
          </w:p>
        </w:tc>
        <w:tc>
          <w:tcPr>
            <w:tcW w:type="dxa" w:w="1323"/>
            <w:shd w:fill="E8E6E1" w:color="auto" w:val="clear"/>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bCs/>
                <w:color w:val="1A1A1A"/>
                <w:sz w:val="18"/>
                <w:szCs w:val="18"/>
              </w:rPr>
              <w:t xml:space="preserve">Mass @100%</w:t>
            </w:r>
          </w:p>
        </w:tc>
        <w:tc>
          <w:tcPr>
            <w:tcW w:type="dxa" w:w="1323"/>
            <w:shd w:fill="E8E6E1" w:color="auto" w:val="clear"/>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bCs/>
                <w:color w:val="1A1A1A"/>
                <w:sz w:val="18"/>
                <w:szCs w:val="18"/>
              </w:rPr>
              <w:t xml:space="preserve">Mass est.</w:t>
            </w:r>
          </w:p>
        </w:tc>
        <w:tc>
          <w:tcPr>
            <w:tcW w:type="dxa" w:w="1532"/>
            <w:shd w:fill="E8E6E1" w:color="auto" w:val="clear"/>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bCs/>
                <w:color w:val="1A1A1A"/>
                <w:sz w:val="18"/>
                <w:szCs w:val="18"/>
              </w:rPr>
              <w:t xml:space="preserve">Function</w:t>
            </w:r>
          </w:p>
        </w:tc>
      </w:tr>
      <w:tr>
        <w:trPr>
          <w:cantSplit/>
          <w:tblHeader w:val="false"/>
        </w:trPr>
        <w:tc>
          <w:tcPr>
            <w:tcW w:type="dxa" w:w="2088"/>
            <w:tcMar>
              <w:top w:type="dxa" w:w="70"/>
              <w:left w:type="dxa" w:w="100"/>
              <w:bottom w:type="dxa" w:w="70"/>
              <w:right w:type="dxa" w:w="100"/>
            </w:tcMar>
            <w:vAlign w:val="center"/>
          </w:tcPr>
          <w:p>
            <w:pPr>
              <w:spacing w:after="0" w:line="252"/>
            </w:pPr>
            <w:r>
              <w:rPr>
                <w:rFonts w:ascii="Consolas" w:cs="Consolas" w:eastAsia="Consolas" w:hAnsi="Consolas"/>
                <w:b w:val="false"/>
                <w:bCs w:val="false"/>
                <w:color w:val="1A1A1A"/>
                <w:sz w:val="18"/>
                <w:szCs w:val="18"/>
              </w:rPr>
              <w:t xml:space="preserve">main.stl</w:t>
            </w:r>
          </w:p>
        </w:tc>
        <w:tc>
          <w:tcPr>
            <w:tcW w:type="dxa" w:w="2088"/>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1A1A1A"/>
                <w:sz w:val="18"/>
                <w:szCs w:val="18"/>
              </w:rPr>
              <w:t xml:space="preserve">149.0 × 85.0 × 44.5</w:t>
            </w:r>
          </w:p>
        </w:tc>
        <w:tc>
          <w:tcPr>
            <w:tcW w:type="dxa" w:w="1392"/>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1A1A1A"/>
                <w:sz w:val="18"/>
                <w:szCs w:val="18"/>
              </w:rPr>
              <w:t xml:space="preserve">118.0 cm³</w:t>
            </w:r>
          </w:p>
        </w:tc>
        <w:tc>
          <w:tcPr>
            <w:tcW w:type="dxa" w:w="1323"/>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1A1A1A"/>
                <w:sz w:val="18"/>
                <w:szCs w:val="18"/>
              </w:rPr>
              <w:t xml:space="preserve">146 g</w:t>
            </w:r>
          </w:p>
        </w:tc>
        <w:tc>
          <w:tcPr>
            <w:tcW w:type="dxa" w:w="1323"/>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1A1A1A"/>
                <w:sz w:val="18"/>
                <w:szCs w:val="18"/>
              </w:rPr>
              <w:t xml:space="preserve">≈ 80 g</w:t>
            </w:r>
          </w:p>
        </w:tc>
        <w:tc>
          <w:tcPr>
            <w:tcW w:type="dxa" w:w="1532"/>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1A1A1A"/>
                <w:sz w:val="18"/>
                <w:szCs w:val="18"/>
              </w:rPr>
              <w:t xml:space="preserve">Main body, PCB and PSU bay</w:t>
            </w:r>
          </w:p>
        </w:tc>
      </w:tr>
      <w:tr>
        <w:trPr>
          <w:cantSplit/>
          <w:tblHeader w:val="false"/>
        </w:trPr>
        <w:tc>
          <w:tcPr>
            <w:tcW w:type="dxa" w:w="2088"/>
            <w:tcMar>
              <w:top w:type="dxa" w:w="70"/>
              <w:left w:type="dxa" w:w="100"/>
              <w:bottom w:type="dxa" w:w="70"/>
              <w:right w:type="dxa" w:w="100"/>
            </w:tcMar>
            <w:vAlign w:val="center"/>
          </w:tcPr>
          <w:p>
            <w:pPr>
              <w:spacing w:after="0" w:line="252"/>
            </w:pPr>
            <w:r>
              <w:rPr>
                <w:rFonts w:ascii="Consolas" w:cs="Consolas" w:eastAsia="Consolas" w:hAnsi="Consolas"/>
                <w:b w:val="false"/>
                <w:bCs w:val="false"/>
                <w:color w:val="1A1A1A"/>
                <w:sz w:val="18"/>
                <w:szCs w:val="18"/>
              </w:rPr>
              <w:t xml:space="preserve">back_cover.stl</w:t>
            </w:r>
          </w:p>
        </w:tc>
        <w:tc>
          <w:tcPr>
            <w:tcW w:type="dxa" w:w="2088"/>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1A1A1A"/>
                <w:sz w:val="18"/>
                <w:szCs w:val="18"/>
              </w:rPr>
              <w:t xml:space="preserve">141.6 × 77.6 × 3.0</w:t>
            </w:r>
          </w:p>
        </w:tc>
        <w:tc>
          <w:tcPr>
            <w:tcW w:type="dxa" w:w="1392"/>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1A1A1A"/>
                <w:sz w:val="18"/>
                <w:szCs w:val="18"/>
              </w:rPr>
              <w:t xml:space="preserve">31.8 cm³</w:t>
            </w:r>
          </w:p>
        </w:tc>
        <w:tc>
          <w:tcPr>
            <w:tcW w:type="dxa" w:w="1323"/>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1A1A1A"/>
                <w:sz w:val="18"/>
                <w:szCs w:val="18"/>
              </w:rPr>
              <w:t xml:space="preserve">39 g</w:t>
            </w:r>
          </w:p>
        </w:tc>
        <w:tc>
          <w:tcPr>
            <w:tcW w:type="dxa" w:w="1323"/>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1A1A1A"/>
                <w:sz w:val="18"/>
                <w:szCs w:val="18"/>
              </w:rPr>
              <w:t xml:space="preserve">≈ 35 g</w:t>
            </w:r>
          </w:p>
        </w:tc>
        <w:tc>
          <w:tcPr>
            <w:tcW w:type="dxa" w:w="1532"/>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1A1A1A"/>
                <w:sz w:val="18"/>
                <w:szCs w:val="18"/>
              </w:rPr>
              <w:t xml:space="preserve">Rear closure plate</w:t>
            </w:r>
          </w:p>
        </w:tc>
      </w:tr>
      <w:tr>
        <w:trPr>
          <w:cantSplit/>
          <w:tblHeader w:val="false"/>
        </w:trPr>
        <w:tc>
          <w:tcPr>
            <w:tcW w:type="dxa" w:w="2088"/>
            <w:tcMar>
              <w:top w:type="dxa" w:w="70"/>
              <w:left w:type="dxa" w:w="100"/>
              <w:bottom w:type="dxa" w:w="70"/>
              <w:right w:type="dxa" w:w="100"/>
            </w:tcMar>
            <w:vAlign w:val="center"/>
          </w:tcPr>
          <w:p>
            <w:pPr>
              <w:spacing w:after="0" w:line="252"/>
            </w:pPr>
            <w:r>
              <w:rPr>
                <w:rFonts w:ascii="Consolas" w:cs="Consolas" w:eastAsia="Consolas" w:hAnsi="Consolas"/>
                <w:b w:val="false"/>
                <w:bCs w:val="false"/>
                <w:color w:val="1A1A1A"/>
                <w:sz w:val="18"/>
                <w:szCs w:val="18"/>
              </w:rPr>
              <w:t xml:space="preserve">psu_cover.stl</w:t>
            </w:r>
          </w:p>
        </w:tc>
        <w:tc>
          <w:tcPr>
            <w:tcW w:type="dxa" w:w="2088"/>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1A1A1A"/>
                <w:sz w:val="18"/>
                <w:szCs w:val="18"/>
              </w:rPr>
              <w:t xml:space="preserve">64.0 × 72.2 × 31.0</w:t>
            </w:r>
          </w:p>
        </w:tc>
        <w:tc>
          <w:tcPr>
            <w:tcW w:type="dxa" w:w="1392"/>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1A1A1A"/>
                <w:sz w:val="18"/>
                <w:szCs w:val="18"/>
              </w:rPr>
              <w:t xml:space="preserve">15.3 cm³</w:t>
            </w:r>
          </w:p>
        </w:tc>
        <w:tc>
          <w:tcPr>
            <w:tcW w:type="dxa" w:w="1323"/>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1A1A1A"/>
                <w:sz w:val="18"/>
                <w:szCs w:val="18"/>
              </w:rPr>
              <w:t xml:space="preserve">19 g</w:t>
            </w:r>
          </w:p>
        </w:tc>
        <w:tc>
          <w:tcPr>
            <w:tcW w:type="dxa" w:w="1323"/>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1A1A1A"/>
                <w:sz w:val="18"/>
                <w:szCs w:val="18"/>
              </w:rPr>
              <w:t xml:space="preserve">≈ 10 g</w:t>
            </w:r>
          </w:p>
        </w:tc>
        <w:tc>
          <w:tcPr>
            <w:tcW w:type="dxa" w:w="1532"/>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1A1A1A"/>
                <w:sz w:val="18"/>
                <w:szCs w:val="18"/>
              </w:rPr>
              <w:t xml:space="preserve">PSU shroud — mains touch guard</w:t>
            </w:r>
          </w:p>
        </w:tc>
      </w:tr>
      <w:tr>
        <w:trPr>
          <w:cantSplit/>
          <w:tblHeader w:val="false"/>
        </w:trPr>
        <w:tc>
          <w:tcPr>
            <w:tcW w:type="dxa" w:w="2088"/>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bCs/>
                <w:color w:val="1A1A1A"/>
                <w:sz w:val="18"/>
                <w:szCs w:val="18"/>
              </w:rPr>
              <w:t xml:space="preserve">TOTAL</w:t>
            </w:r>
          </w:p>
        </w:tc>
        <w:tc>
          <w:tcPr>
            <w:tcW w:type="dxa" w:w="2088"/>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1A1A1A"/>
                <w:sz w:val="18"/>
                <w:szCs w:val="18"/>
              </w:rPr>
              <w:t xml:space="preserve"/>
            </w:r>
          </w:p>
        </w:tc>
        <w:tc>
          <w:tcPr>
            <w:tcW w:type="dxa" w:w="1392"/>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bCs/>
                <w:color w:val="1A1A1A"/>
                <w:sz w:val="18"/>
                <w:szCs w:val="18"/>
              </w:rPr>
              <w:t xml:space="preserve">165.1 cm³</w:t>
            </w:r>
          </w:p>
        </w:tc>
        <w:tc>
          <w:tcPr>
            <w:tcW w:type="dxa" w:w="1323"/>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bCs/>
                <w:color w:val="1A1A1A"/>
                <w:sz w:val="18"/>
                <w:szCs w:val="18"/>
              </w:rPr>
              <w:t xml:space="preserve">204 g</w:t>
            </w:r>
          </w:p>
        </w:tc>
        <w:tc>
          <w:tcPr>
            <w:tcW w:type="dxa" w:w="1323"/>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bCs/>
                <w:color w:val="1A1A1A"/>
                <w:sz w:val="18"/>
                <w:szCs w:val="18"/>
              </w:rPr>
              <w:t xml:space="preserve">≈ 126 g</w:t>
            </w:r>
          </w:p>
        </w:tc>
        <w:tc>
          <w:tcPr>
            <w:tcW w:type="dxa" w:w="1532"/>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1A1A1A"/>
                <w:sz w:val="18"/>
                <w:szCs w:val="18"/>
              </w:rPr>
              <w:t xml:space="preserve">per node</w:t>
            </w:r>
          </w:p>
        </w:tc>
      </w:tr>
    </w:tbl>
    <w:p>
      <w:pPr>
        <w:spacing w:after="120" w:before="0" w:line="276"/>
      </w:pPr>
      <w:r>
        <w:rPr>
          <w:rFonts w:ascii="Avenir Next LT Pro" w:cs="Avenir Next LT Pro" w:eastAsia="Avenir Next LT Pro" w:hAnsi="Avenir Next LT Pro"/>
          <w:i/>
          <w:iCs/>
          <w:color w:val="5C5955"/>
          <w:sz w:val="18"/>
          <w:szCs w:val="18"/>
        </w:rPr>
        <w:t xml:space="preserve">Mass estimate assumes HT-PLA at 1.24 g/cm³, 35% infill with solid walls for the body and shroud, and a near-solid 3 mm plate for the cover. A 1 kg spool yields approximately 7.9 node sets before purge and waste.</w:t>
      </w:r>
    </w:p>
    <w:p>
      <w:pPr>
        <w:pStyle w:val="Heading2"/>
        <w:keepNext/>
        <w:keepLines/>
        <w:spacing w:after="120" w:before="280"/>
      </w:pPr>
      <w:r>
        <w:rPr>
          <w:rFonts w:ascii="Avenir Next LT Pro" w:cs="Avenir Next LT Pro" w:eastAsia="Avenir Next LT Pro" w:hAnsi="Avenir Next LT Pro"/>
          <w:b/>
          <w:bCs/>
          <w:color w:val="1A1A1A"/>
          <w:sz w:val="23"/>
          <w:szCs w:val="23"/>
        </w:rPr>
        <w:t xml:space="preserve">2.2  Print process</w:t>
      </w:r>
    </w:p>
    <w:tbl>
      <w:tblPr>
        <w:tblW w:type="dxa" w:w="9746"/>
        <w:tblBorders>
          <w:top w:val="single" w:color="BFBBB4" w:sz="4"/>
          <w:left w:val="single" w:color="BFBBB4" w:sz="4"/>
          <w:bottom w:val="single" w:color="BFBBB4" w:sz="4"/>
          <w:right w:val="single" w:color="BFBBB4" w:sz="4"/>
          <w:insideH w:val="single" w:color="BFBBB4" w:sz="2"/>
          <w:insideV w:val="single" w:color="BFBBB4" w:sz="2"/>
        </w:tblBorders>
      </w:tblPr>
      <w:tblGrid>
        <w:gridCol w:w="2215"/>
        <w:gridCol w:w="3101"/>
        <w:gridCol w:w="4430"/>
      </w:tblGrid>
      <w:tr>
        <w:trPr>
          <w:cantSplit/>
          <w:tblHeader/>
        </w:trPr>
        <w:tc>
          <w:tcPr>
            <w:tcW w:type="dxa" w:w="2215"/>
            <w:shd w:fill="E8E6E1" w:color="auto" w:val="clear"/>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bCs/>
                <w:color w:val="1A1A1A"/>
                <w:sz w:val="18"/>
                <w:szCs w:val="18"/>
              </w:rPr>
              <w:t xml:space="preserve">Parameter</w:t>
            </w:r>
          </w:p>
        </w:tc>
        <w:tc>
          <w:tcPr>
            <w:tcW w:type="dxa" w:w="3101"/>
            <w:shd w:fill="E8E6E1" w:color="auto" w:val="clear"/>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bCs/>
                <w:color w:val="1A1A1A"/>
                <w:sz w:val="18"/>
                <w:szCs w:val="18"/>
              </w:rPr>
              <w:t xml:space="preserve">Setting</w:t>
            </w:r>
          </w:p>
        </w:tc>
        <w:tc>
          <w:tcPr>
            <w:tcW w:type="dxa" w:w="4430"/>
            <w:shd w:fill="E8E6E1" w:color="auto" w:val="clear"/>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bCs/>
                <w:color w:val="1A1A1A"/>
                <w:sz w:val="18"/>
                <w:szCs w:val="18"/>
              </w:rPr>
              <w:t xml:space="preserve">Rationale</w:t>
            </w:r>
          </w:p>
        </w:tc>
      </w:tr>
      <w:tr>
        <w:trPr>
          <w:cantSplit/>
          <w:tblHeader w:val="false"/>
        </w:trPr>
        <w:tc>
          <w:tcPr>
            <w:tcW w:type="dxa" w:w="2215"/>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1A1A1A"/>
                <w:sz w:val="18"/>
                <w:szCs w:val="18"/>
              </w:rPr>
              <w:t xml:space="preserve">Material</w:t>
            </w:r>
          </w:p>
        </w:tc>
        <w:tc>
          <w:tcPr>
            <w:tcW w:type="dxa" w:w="3101"/>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1A1A1A"/>
                <w:sz w:val="18"/>
                <w:szCs w:val="18"/>
              </w:rPr>
              <w:t xml:space="preserve">HT-PLA Artisan 3D, Grey</w:t>
            </w:r>
          </w:p>
        </w:tc>
        <w:tc>
          <w:tcPr>
            <w:tcW w:type="dxa" w:w="4430"/>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1A1A1A"/>
                <w:sz w:val="18"/>
                <w:szCs w:val="18"/>
              </w:rPr>
              <w:t xml:space="preserve">Elevated heat deflection over standard PLA — required for an enclosure containing a mains PSU</w:t>
            </w:r>
          </w:p>
        </w:tc>
      </w:tr>
      <w:tr>
        <w:trPr>
          <w:cantSplit/>
          <w:tblHeader w:val="false"/>
        </w:trPr>
        <w:tc>
          <w:tcPr>
            <w:tcW w:type="dxa" w:w="2215"/>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1A1A1A"/>
                <w:sz w:val="18"/>
                <w:szCs w:val="18"/>
              </w:rPr>
              <w:t xml:space="preserve">Nozzle</w:t>
            </w:r>
          </w:p>
        </w:tc>
        <w:tc>
          <w:tcPr>
            <w:tcW w:type="dxa" w:w="3101"/>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1A1A1A"/>
                <w:sz w:val="18"/>
                <w:szCs w:val="18"/>
              </w:rPr>
              <w:t xml:space="preserve">0.4 mm</w:t>
            </w:r>
          </w:p>
        </w:tc>
        <w:tc>
          <w:tcPr>
            <w:tcW w:type="dxa" w:w="4430"/>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1A1A1A"/>
                <w:sz w:val="18"/>
                <w:szCs w:val="18"/>
              </w:rPr>
              <w:t xml:space="preserve">Standard; resolves the M2 boss walls</w:t>
            </w:r>
          </w:p>
        </w:tc>
      </w:tr>
      <w:tr>
        <w:trPr>
          <w:cantSplit/>
          <w:tblHeader w:val="false"/>
        </w:trPr>
        <w:tc>
          <w:tcPr>
            <w:tcW w:type="dxa" w:w="2215"/>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1A1A1A"/>
                <w:sz w:val="18"/>
                <w:szCs w:val="18"/>
              </w:rPr>
              <w:t xml:space="preserve">Layer height</w:t>
            </w:r>
          </w:p>
        </w:tc>
        <w:tc>
          <w:tcPr>
            <w:tcW w:type="dxa" w:w="3101"/>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1A1A1A"/>
                <w:sz w:val="18"/>
                <w:szCs w:val="18"/>
              </w:rPr>
              <w:t xml:space="preserve">0.20 mm</w:t>
            </w:r>
          </w:p>
        </w:tc>
        <w:tc>
          <w:tcPr>
            <w:tcW w:type="dxa" w:w="4430"/>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1A1A1A"/>
                <w:sz w:val="18"/>
                <w:szCs w:val="18"/>
              </w:rPr>
              <w:t xml:space="preserve">Balance of strength and time</w:t>
            </w:r>
          </w:p>
        </w:tc>
      </w:tr>
      <w:tr>
        <w:trPr>
          <w:cantSplit/>
          <w:tblHeader w:val="false"/>
        </w:trPr>
        <w:tc>
          <w:tcPr>
            <w:tcW w:type="dxa" w:w="2215"/>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1A1A1A"/>
                <w:sz w:val="18"/>
                <w:szCs w:val="18"/>
              </w:rPr>
              <w:t xml:space="preserve">Walls / top / bottom</w:t>
            </w:r>
          </w:p>
        </w:tc>
        <w:tc>
          <w:tcPr>
            <w:tcW w:type="dxa" w:w="3101"/>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1A1A1A"/>
                <w:sz w:val="18"/>
                <w:szCs w:val="18"/>
              </w:rPr>
              <w:t xml:space="preserve">3 / 5 / 5</w:t>
            </w:r>
          </w:p>
        </w:tc>
        <w:tc>
          <w:tcPr>
            <w:tcW w:type="dxa" w:w="4430"/>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1A1A1A"/>
                <w:sz w:val="18"/>
                <w:szCs w:val="18"/>
              </w:rPr>
              <w:t xml:space="preserve">Wall count governs insert pull-out strength, not infill</w:t>
            </w:r>
          </w:p>
        </w:tc>
      </w:tr>
      <w:tr>
        <w:trPr>
          <w:cantSplit/>
          <w:tblHeader w:val="false"/>
        </w:trPr>
        <w:tc>
          <w:tcPr>
            <w:tcW w:type="dxa" w:w="2215"/>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1A1A1A"/>
                <w:sz w:val="18"/>
                <w:szCs w:val="18"/>
              </w:rPr>
              <w:t xml:space="preserve">Infill</w:t>
            </w:r>
          </w:p>
        </w:tc>
        <w:tc>
          <w:tcPr>
            <w:tcW w:type="dxa" w:w="3101"/>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1A1A1A"/>
                <w:sz w:val="18"/>
                <w:szCs w:val="18"/>
              </w:rPr>
              <w:t xml:space="preserve">35% gyroid</w:t>
            </w:r>
          </w:p>
        </w:tc>
        <w:tc>
          <w:tcPr>
            <w:tcW w:type="dxa" w:w="4430"/>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1A1A1A"/>
                <w:sz w:val="18"/>
                <w:szCs w:val="18"/>
              </w:rPr>
              <w:t xml:space="preserve">Isotropic; adequate for a non-structural enclosure</w:t>
            </w:r>
          </w:p>
        </w:tc>
      </w:tr>
      <w:tr>
        <w:trPr>
          <w:cantSplit/>
          <w:tblHeader w:val="false"/>
        </w:trPr>
        <w:tc>
          <w:tcPr>
            <w:tcW w:type="dxa" w:w="2215"/>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1A1A1A"/>
                <w:sz w:val="18"/>
                <w:szCs w:val="18"/>
              </w:rPr>
              <w:t xml:space="preserve">Annealing</w:t>
            </w:r>
          </w:p>
        </w:tc>
        <w:tc>
          <w:tcPr>
            <w:tcW w:type="dxa" w:w="3101"/>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1A1A1A"/>
                <w:sz w:val="18"/>
                <w:szCs w:val="18"/>
              </w:rPr>
              <w:t xml:space="preserve">Per filament data sheet</w:t>
            </w:r>
          </w:p>
        </w:tc>
        <w:tc>
          <w:tcPr>
            <w:tcW w:type="dxa" w:w="4430"/>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1A1A1A"/>
                <w:sz w:val="18"/>
                <w:szCs w:val="18"/>
              </w:rPr>
              <w:t xml:space="preserve">Required to realise the HT temperature rating — confirm before field deployment</w:t>
            </w:r>
          </w:p>
        </w:tc>
      </w:tr>
    </w:tbl>
    <w:tbl>
      <w:tblPr>
        <w:tblW w:type="dxa" w:w="9746"/>
        <w:tblBorders>
          <w:top w:val="single" w:color="A63A17" w:sz="4"/>
          <w:left w:val="single" w:color="A63A17" w:sz="18"/>
          <w:bottom w:val="single" w:color="A63A17" w:sz="4"/>
          <w:right w:val="single" w:color="A63A17" w:sz="4"/>
          <w:insideH w:val="none"/>
          <w:insideV w:val="none"/>
        </w:tblBorders>
      </w:tblPr>
      <w:tblGrid>
        <w:gridCol w:w="9746"/>
      </w:tblGrid>
      <w:tr>
        <w:trPr>
          <w:cantSplit/>
        </w:trPr>
        <w:tc>
          <w:tcPr>
            <w:tcW w:type="dxa" w:w="9746"/>
            <w:shd w:fill="FBEEE9" w:color="auto" w:val="clear"/>
            <w:tcMar>
              <w:top w:type="dxa" w:w="120"/>
              <w:left w:type="dxa" w:w="160"/>
              <w:bottom w:type="dxa" w:w="120"/>
              <w:right w:type="dxa" w:w="160"/>
            </w:tcMar>
          </w:tcPr>
          <w:p>
            <w:pPr>
              <w:spacing w:after="60"/>
            </w:pPr>
            <w:r>
              <w:rPr>
                <w:rFonts w:ascii="Avenir Next LT Pro" w:cs="Avenir Next LT Pro" w:eastAsia="Avenir Next LT Pro" w:hAnsi="Avenir Next LT Pro"/>
                <w:b/>
                <w:bCs/>
                <w:color w:val="A63A17"/>
                <w:sz w:val="19"/>
                <w:szCs w:val="19"/>
              </w:rPr>
              <w:t xml:space="preserve">OPEN ITEM — PRINT ORIENTATION</w:t>
            </w:r>
          </w:p>
          <w:p>
            <w:pPr>
              <w:spacing w:after="60" w:line="264"/>
            </w:pPr>
            <w:r>
              <w:rPr>
                <w:rFonts w:ascii="Avenir Next LT Pro" w:cs="Avenir Next LT Pro" w:eastAsia="Avenir Next LT Pro" w:hAnsi="Avenir Next LT Pro"/>
                <w:color w:val="1A1A1A"/>
                <w:sz w:val="19"/>
                <w:szCs w:val="19"/>
              </w:rPr>
              <w:t xml:space="preserve">Print orientation and support strategy for each part are not yet fixed and are the largest source of unit-to-unit variation. They must be determined, recorded here, and frozen before series production.</w:t>
            </w:r>
          </w:p>
          <w:p>
            <w:pPr>
              <w:spacing w:after="60" w:line="264"/>
            </w:pPr>
            <w:r>
              <w:rPr>
                <w:rFonts w:ascii="Avenir Next LT Pro" w:cs="Avenir Next LT Pro" w:eastAsia="Avenir Next LT Pro" w:hAnsi="Avenir Next LT Pro"/>
                <w:color w:val="1A1A1A"/>
                <w:sz w:val="19"/>
                <w:szCs w:val="19"/>
              </w:rPr>
              <w:t xml:space="preserve">Particular attention: the PG11 gland boss and the M12 connector boss must not be printed on support in a way that degrades thread engagement or the IP seal face.</w:t>
            </w:r>
          </w:p>
        </w:tc>
      </w:tr>
    </w:tbl>
    <w:p>
      <w:pPr>
        <w:pStyle w:val="Heading2"/>
        <w:keepNext/>
        <w:keepLines/>
        <w:spacing w:after="120" w:before="280"/>
      </w:pPr>
      <w:r>
        <w:rPr>
          <w:rFonts w:ascii="Avenir Next LT Pro" w:cs="Avenir Next LT Pro" w:eastAsia="Avenir Next LT Pro" w:hAnsi="Avenir Next LT Pro"/>
          <w:b/>
          <w:bCs/>
          <w:color w:val="1A1A1A"/>
          <w:sz w:val="23"/>
          <w:szCs w:val="23"/>
        </w:rPr>
        <w:t xml:space="preserve">2.3  Threaded inserts and fasteners</w:t>
      </w:r>
    </w:p>
    <w:tbl>
      <w:tblPr>
        <w:tblW w:type="dxa" w:w="9746"/>
        <w:tblBorders>
          <w:top w:val="single" w:color="BFBBB4" w:sz="4"/>
          <w:left w:val="single" w:color="BFBBB4" w:sz="4"/>
          <w:bottom w:val="single" w:color="BFBBB4" w:sz="4"/>
          <w:right w:val="single" w:color="BFBBB4" w:sz="4"/>
          <w:insideH w:val="single" w:color="BFBBB4" w:sz="2"/>
          <w:insideV w:val="single" w:color="BFBBB4" w:sz="2"/>
        </w:tblBorders>
      </w:tblPr>
      <w:tblGrid>
        <w:gridCol w:w="3110"/>
        <w:gridCol w:w="1659"/>
        <w:gridCol w:w="4977"/>
      </w:tblGrid>
      <w:tr>
        <w:trPr>
          <w:cantSplit/>
          <w:tblHeader w:val="false"/>
        </w:trPr>
        <w:tc>
          <w:tcPr>
            <w:tcW w:type="dxa" w:w="3110"/>
            <w:shd w:fill="E8E6E1" w:color="auto" w:val="clear"/>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bCs/>
                <w:color w:val="1A1A1A"/>
                <w:sz w:val="18"/>
                <w:szCs w:val="18"/>
              </w:rPr>
              <w:t xml:space="preserve">Item</w:t>
            </w:r>
          </w:p>
        </w:tc>
        <w:tc>
          <w:tcPr>
            <w:tcW w:type="dxa" w:w="1659"/>
            <w:shd w:fill="E8E6E1" w:color="auto" w:val="clear"/>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bCs/>
                <w:color w:val="1A1A1A"/>
                <w:sz w:val="18"/>
                <w:szCs w:val="18"/>
              </w:rPr>
              <w:t xml:space="preserve">Qty</w:t>
            </w:r>
          </w:p>
        </w:tc>
        <w:tc>
          <w:tcPr>
            <w:tcW w:type="dxa" w:w="4977"/>
            <w:shd w:fill="E8E6E1" w:color="auto" w:val="clear"/>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bCs/>
                <w:color w:val="1A1A1A"/>
                <w:sz w:val="18"/>
                <w:szCs w:val="18"/>
              </w:rPr>
              <w:t xml:space="preserve">Application</w:t>
            </w:r>
          </w:p>
        </w:tc>
      </w:tr>
      <w:tr>
        <w:trPr>
          <w:cantSplit/>
          <w:tblHeader w:val="false"/>
        </w:trPr>
        <w:tc>
          <w:tcPr>
            <w:tcW w:type="dxa" w:w="3110"/>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1A1A1A"/>
                <w:sz w:val="18"/>
                <w:szCs w:val="18"/>
              </w:rPr>
              <w:t xml:space="preserve">Brass insert M2 × 3 × 4 mm</w:t>
            </w:r>
          </w:p>
        </w:tc>
        <w:tc>
          <w:tcPr>
            <w:tcW w:type="dxa" w:w="1659"/>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A63A17"/>
                <w:sz w:val="18"/>
                <w:szCs w:val="18"/>
              </w:rPr>
              <w:t xml:space="preserve">TBC</w:t>
            </w:r>
          </w:p>
        </w:tc>
        <w:tc>
          <w:tcPr>
            <w:tcW w:type="dxa" w:w="4977"/>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1A1A1A"/>
                <w:sz w:val="18"/>
                <w:szCs w:val="18"/>
              </w:rPr>
              <w:t xml:space="preserve">Heat-set into printed bosses to receive the M2 screws. Quantity must equal the number of M2 screw locations — see open item below</w:t>
            </w:r>
          </w:p>
        </w:tc>
      </w:tr>
      <w:tr>
        <w:trPr>
          <w:cantSplit/>
          <w:tblHeader w:val="false"/>
        </w:trPr>
        <w:tc>
          <w:tcPr>
            <w:tcW w:type="dxa" w:w="3110"/>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1A1A1A"/>
                <w:sz w:val="18"/>
                <w:szCs w:val="18"/>
              </w:rPr>
              <w:t xml:space="preserve">M2 × 5 mm screw</w:t>
            </w:r>
          </w:p>
        </w:tc>
        <w:tc>
          <w:tcPr>
            <w:tcW w:type="dxa" w:w="1659"/>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1A1A1A"/>
                <w:sz w:val="18"/>
                <w:szCs w:val="18"/>
              </w:rPr>
              <w:t xml:space="preserve">14</w:t>
            </w:r>
          </w:p>
        </w:tc>
        <w:tc>
          <w:tcPr>
            <w:tcW w:type="dxa" w:w="4977"/>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1A1A1A"/>
                <w:sz w:val="18"/>
                <w:szCs w:val="18"/>
              </w:rPr>
              <w:t xml:space="preserve">PCB mounting, back cover, PSU cover</w:t>
            </w:r>
          </w:p>
        </w:tc>
      </w:tr>
      <w:tr>
        <w:trPr>
          <w:cantSplit/>
          <w:tblHeader w:val="false"/>
        </w:trPr>
        <w:tc>
          <w:tcPr>
            <w:tcW w:type="dxa" w:w="3110"/>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1A1A1A"/>
                <w:sz w:val="18"/>
                <w:szCs w:val="18"/>
              </w:rPr>
              <w:t xml:space="preserve">M3 × 4 mm screw</w:t>
            </w:r>
          </w:p>
        </w:tc>
        <w:tc>
          <w:tcPr>
            <w:tcW w:type="dxa" w:w="1659"/>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1A1A1A"/>
                <w:sz w:val="18"/>
                <w:szCs w:val="18"/>
              </w:rPr>
              <w:t xml:space="preserve">2</w:t>
            </w:r>
          </w:p>
        </w:tc>
        <w:tc>
          <w:tcPr>
            <w:tcW w:type="dxa" w:w="4977"/>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1A1A1A"/>
                <w:sz w:val="18"/>
                <w:szCs w:val="18"/>
              </w:rPr>
              <w:t xml:space="preserve">PSU chassis fixing</w:t>
            </w:r>
          </w:p>
        </w:tc>
      </w:tr>
    </w:tbl>
    <w:tbl>
      <w:tblPr>
        <w:tblW w:type="dxa" w:w="9746"/>
        <w:tblBorders>
          <w:top w:val="single" w:color="A63A17" w:sz="4"/>
          <w:left w:val="single" w:color="A63A17" w:sz="18"/>
          <w:bottom w:val="single" w:color="A63A17" w:sz="4"/>
          <w:right w:val="single" w:color="A63A17" w:sz="4"/>
          <w:insideH w:val="none"/>
          <w:insideV w:val="none"/>
        </w:tblBorders>
      </w:tblPr>
      <w:tblGrid>
        <w:gridCol w:w="9746"/>
      </w:tblGrid>
      <w:tr>
        <w:trPr>
          <w:cantSplit/>
        </w:trPr>
        <w:tc>
          <w:tcPr>
            <w:tcW w:type="dxa" w:w="9746"/>
            <w:shd w:fill="FBEEE9" w:color="auto" w:val="clear"/>
            <w:tcMar>
              <w:top w:type="dxa" w:w="120"/>
              <w:left w:type="dxa" w:w="160"/>
              <w:bottom w:type="dxa" w:w="120"/>
              <w:right w:type="dxa" w:w="160"/>
            </w:tcMar>
          </w:tcPr>
          <w:p>
            <w:pPr>
              <w:spacing w:after="60"/>
            </w:pPr>
            <w:r>
              <w:rPr>
                <w:rFonts w:ascii="Avenir Next LT Pro" w:cs="Avenir Next LT Pro" w:eastAsia="Avenir Next LT Pro" w:hAnsi="Avenir Next LT Pro"/>
                <w:b/>
                <w:bCs/>
                <w:color w:val="A63A17"/>
                <w:sz w:val="19"/>
                <w:szCs w:val="19"/>
              </w:rPr>
              <w:t xml:space="preserve">OPEN ITEM — INSERT QUANTITY</w:t>
            </w:r>
          </w:p>
          <w:p>
            <w:pPr>
              <w:spacing w:after="60" w:line="264"/>
            </w:pPr>
            <w:r>
              <w:rPr>
                <w:rFonts w:ascii="Avenir Next LT Pro" w:cs="Avenir Next LT Pro" w:eastAsia="Avenir Next LT Pro" w:hAnsi="Avenir Next LT Pro"/>
                <w:color w:val="1A1A1A"/>
                <w:sz w:val="19"/>
                <w:szCs w:val="19"/>
              </w:rPr>
              <w:t xml:space="preserve">The brass insert quantity was not specified in the source build list. Fourteen M2 screws are called for; unless some thread directly into printed plastic, fourteen inserts are implied.</w:t>
            </w:r>
          </w:p>
          <w:p>
            <w:pPr>
              <w:spacing w:after="60" w:line="264"/>
            </w:pPr>
            <w:r>
              <w:rPr>
                <w:rFonts w:ascii="Avenir Next LT Pro" w:cs="Avenir Next LT Pro" w:eastAsia="Avenir Next LT Pro" w:hAnsi="Avenir Next LT Pro"/>
                <w:color w:val="1A1A1A"/>
                <w:sz w:val="19"/>
                <w:szCs w:val="19"/>
              </w:rPr>
              <w:t xml:space="preserve">Confirm the count and the per-location breakdown, then replace the TBC above. This directly affects kitting.</w:t>
            </w:r>
          </w:p>
        </w:tc>
      </w:tr>
    </w:tbl>
    <w:p>
      <w:pPr>
        <w:pStyle w:val="Heading1"/>
        <w:keepNext/>
        <w:keepLines/>
        <w:pBdr>
          <w:bottom w:val="single" w:color="BFBBB4" w:sz="8" w:space="6"/>
        </w:pBdr>
        <w:spacing w:after="160" w:before="360"/>
      </w:pPr>
      <w:r>
        <w:rPr>
          <w:rFonts w:ascii="Avenir Next LT Pro" w:cs="Avenir Next LT Pro" w:eastAsia="Avenir Next LT Pro" w:hAnsi="Avenir Next LT Pro"/>
          <w:b/>
          <w:bCs/>
          <w:color w:val="1A1A1A"/>
          <w:sz w:val="28"/>
          <w:szCs w:val="28"/>
        </w:rPr>
        <w:t xml:space="preserve">3.  Bill of Materials</w:t>
      </w:r>
    </w:p>
    <w:p>
      <w:pPr>
        <w:spacing w:after="120" w:before="0" w:line="276"/>
      </w:pPr>
      <w:r>
        <w:rPr>
          <w:rFonts w:ascii="Avenir Next LT Pro" w:cs="Avenir Next LT Pro" w:eastAsia="Avenir Next LT Pro" w:hAnsi="Avenir Next LT Pro"/>
          <w:color w:val="1A1A1A"/>
          <w:sz w:val="20"/>
          <w:szCs w:val="20"/>
        </w:rPr>
        <w:t xml:space="preserve">Quantities are per single node. Cost columns are intentionally unpopulated — see the note following the table.</w:t>
      </w:r>
    </w:p>
    <w:tbl>
      <w:tblPr>
        <w:tblW w:type="dxa" w:w="9746"/>
        <w:tblBorders>
          <w:top w:val="single" w:color="BFBBB4" w:sz="4"/>
          <w:left w:val="single" w:color="BFBBB4" w:sz="4"/>
          <w:bottom w:val="single" w:color="BFBBB4" w:sz="4"/>
          <w:right w:val="single" w:color="BFBBB4" w:sz="4"/>
          <w:insideH w:val="single" w:color="BFBBB4" w:sz="2"/>
          <w:insideV w:val="single" w:color="BFBBB4" w:sz="2"/>
        </w:tblBorders>
      </w:tblPr>
      <w:tblGrid>
        <w:gridCol w:w="512"/>
        <w:gridCol w:w="2680"/>
        <w:gridCol w:w="2558"/>
        <w:gridCol w:w="877"/>
        <w:gridCol w:w="1194"/>
        <w:gridCol w:w="962"/>
        <w:gridCol w:w="963"/>
      </w:tblGrid>
      <w:tr>
        <w:trPr>
          <w:cantSplit/>
          <w:tblHeader/>
        </w:trPr>
        <w:tc>
          <w:tcPr>
            <w:tcW w:type="dxa" w:w="512"/>
            <w:shd w:fill="E8E6E1" w:color="auto" w:val="clear"/>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bCs/>
                <w:color w:val="1A1A1A"/>
                <w:sz w:val="18"/>
                <w:szCs w:val="18"/>
              </w:rPr>
              <w:t xml:space="preserve">#</w:t>
            </w:r>
          </w:p>
        </w:tc>
        <w:tc>
          <w:tcPr>
            <w:tcW w:type="dxa" w:w="2680"/>
            <w:shd w:fill="E8E6E1" w:color="auto" w:val="clear"/>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bCs/>
                <w:color w:val="1A1A1A"/>
                <w:sz w:val="18"/>
                <w:szCs w:val="18"/>
              </w:rPr>
              <w:t xml:space="preserve">Item</w:t>
            </w:r>
          </w:p>
        </w:tc>
        <w:tc>
          <w:tcPr>
            <w:tcW w:type="dxa" w:w="2558"/>
            <w:shd w:fill="E8E6E1" w:color="auto" w:val="clear"/>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bCs/>
                <w:color w:val="1A1A1A"/>
                <w:sz w:val="18"/>
                <w:szCs w:val="18"/>
              </w:rPr>
              <w:t xml:space="preserve">Specification</w:t>
            </w:r>
          </w:p>
        </w:tc>
        <w:tc>
          <w:tcPr>
            <w:tcW w:type="dxa" w:w="877"/>
            <w:shd w:fill="E8E6E1" w:color="auto" w:val="clear"/>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bCs/>
                <w:color w:val="1A1A1A"/>
                <w:sz w:val="18"/>
                <w:szCs w:val="18"/>
              </w:rPr>
              <w:t xml:space="preserve">Qty</w:t>
            </w:r>
          </w:p>
        </w:tc>
        <w:tc>
          <w:tcPr>
            <w:tcW w:type="dxa" w:w="1194"/>
            <w:shd w:fill="E8E6E1" w:color="auto" w:val="clear"/>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bCs/>
                <w:color w:val="1A1A1A"/>
                <w:sz w:val="18"/>
                <w:szCs w:val="18"/>
              </w:rPr>
              <w:t xml:space="preserve">Source</w:t>
            </w:r>
          </w:p>
        </w:tc>
        <w:tc>
          <w:tcPr>
            <w:tcW w:type="dxa" w:w="962"/>
            <w:shd w:fill="E8E6E1" w:color="auto" w:val="clear"/>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bCs/>
                <w:color w:val="1A1A1A"/>
                <w:sz w:val="18"/>
                <w:szCs w:val="18"/>
              </w:rPr>
              <w:t xml:space="preserve">Unit Cost</w:t>
            </w:r>
          </w:p>
        </w:tc>
        <w:tc>
          <w:tcPr>
            <w:tcW w:type="dxa" w:w="963"/>
            <w:shd w:fill="E8E6E1" w:color="auto" w:val="clear"/>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bCs/>
                <w:color w:val="1A1A1A"/>
                <w:sz w:val="18"/>
                <w:szCs w:val="18"/>
              </w:rPr>
              <w:t xml:space="preserve">Ext. Cost</w:t>
            </w:r>
          </w:p>
        </w:tc>
      </w:tr>
      <w:tr>
        <w:trPr>
          <w:cantSplit/>
          <w:tblHeader w:val="false"/>
        </w:trPr>
        <w:tc>
          <w:tcPr>
            <w:tcW w:type="dxa" w:w="512"/>
            <w:tcMar>
              <w:top w:type="dxa" w:w="70"/>
              <w:left w:type="dxa" w:w="100"/>
              <w:bottom w:type="dxa" w:w="70"/>
              <w:right w:type="dxa" w:w="100"/>
            </w:tcMar>
            <w:vAlign w:val="center"/>
          </w:tcPr>
          <w:p>
            <w:pPr>
              <w:spacing w:after="0" w:line="252"/>
              <w:jc w:val="center"/>
            </w:pPr>
            <w:r>
              <w:rPr>
                <w:rFonts w:ascii="Avenir Next LT Pro" w:cs="Avenir Next LT Pro" w:eastAsia="Avenir Next LT Pro" w:hAnsi="Avenir Next LT Pro"/>
                <w:b w:val="false"/>
                <w:bCs w:val="false"/>
                <w:color w:val="1A1A1A"/>
                <w:sz w:val="18"/>
                <w:szCs w:val="18"/>
              </w:rPr>
              <w:t xml:space="preserve">1</w:t>
            </w:r>
          </w:p>
        </w:tc>
        <w:tc>
          <w:tcPr>
            <w:tcW w:type="dxa" w:w="2680"/>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1A1A1A"/>
                <w:sz w:val="18"/>
                <w:szCs w:val="18"/>
              </w:rPr>
              <w:t xml:space="preserve">Filament, HT-PLA</w:t>
            </w:r>
          </w:p>
        </w:tc>
        <w:tc>
          <w:tcPr>
            <w:tcW w:type="dxa" w:w="2558"/>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1A1A1A"/>
                <w:sz w:val="17"/>
                <w:szCs w:val="17"/>
              </w:rPr>
              <w:t xml:space="preserve">Artisan 3D HT-PLA, Grey — ≈126 g per node</w:t>
            </w:r>
          </w:p>
        </w:tc>
        <w:tc>
          <w:tcPr>
            <w:tcW w:type="dxa" w:w="877"/>
            <w:tcMar>
              <w:top w:type="dxa" w:w="70"/>
              <w:left w:type="dxa" w:w="100"/>
              <w:bottom w:type="dxa" w:w="70"/>
              <w:right w:type="dxa" w:w="100"/>
            </w:tcMar>
            <w:vAlign w:val="center"/>
          </w:tcPr>
          <w:p>
            <w:pPr>
              <w:spacing w:after="0" w:line="252"/>
              <w:jc w:val="center"/>
            </w:pPr>
            <w:r>
              <w:rPr>
                <w:rFonts w:ascii="Avenir Next LT Pro" w:cs="Avenir Next LT Pro" w:eastAsia="Avenir Next LT Pro" w:hAnsi="Avenir Next LT Pro"/>
                <w:b w:val="false"/>
                <w:bCs w:val="false"/>
                <w:color w:val="1A1A1A"/>
                <w:sz w:val="18"/>
                <w:szCs w:val="18"/>
              </w:rPr>
              <w:t xml:space="preserve">≈126 g</w:t>
            </w:r>
          </w:p>
        </w:tc>
        <w:tc>
          <w:tcPr>
            <w:tcW w:type="dxa" w:w="1194"/>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1A1A1A"/>
                <w:sz w:val="17"/>
                <w:szCs w:val="17"/>
              </w:rPr>
              <w:t xml:space="preserve">Artisan 3D</w:t>
            </w:r>
          </w:p>
        </w:tc>
        <w:tc>
          <w:tcPr>
            <w:tcW w:type="dxa" w:w="962"/>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1A1A1A"/>
                <w:sz w:val="18"/>
                <w:szCs w:val="18"/>
              </w:rPr>
              <w:t xml:space="preserve"/>
            </w:r>
          </w:p>
        </w:tc>
        <w:tc>
          <w:tcPr>
            <w:tcW w:type="dxa" w:w="963"/>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1A1A1A"/>
                <w:sz w:val="18"/>
                <w:szCs w:val="18"/>
              </w:rPr>
              <w:t xml:space="preserve"/>
            </w:r>
          </w:p>
        </w:tc>
      </w:tr>
      <w:tr>
        <w:trPr>
          <w:cantSplit/>
          <w:tblHeader w:val="false"/>
        </w:trPr>
        <w:tc>
          <w:tcPr>
            <w:tcW w:type="dxa" w:w="512"/>
            <w:tcMar>
              <w:top w:type="dxa" w:w="70"/>
              <w:left w:type="dxa" w:w="100"/>
              <w:bottom w:type="dxa" w:w="70"/>
              <w:right w:type="dxa" w:w="100"/>
            </w:tcMar>
            <w:vAlign w:val="center"/>
          </w:tcPr>
          <w:p>
            <w:pPr>
              <w:spacing w:after="0" w:line="252"/>
              <w:jc w:val="center"/>
            </w:pPr>
            <w:r>
              <w:rPr>
                <w:rFonts w:ascii="Avenir Next LT Pro" w:cs="Avenir Next LT Pro" w:eastAsia="Avenir Next LT Pro" w:hAnsi="Avenir Next LT Pro"/>
                <w:b w:val="false"/>
                <w:bCs w:val="false"/>
                <w:color w:val="1A1A1A"/>
                <w:sz w:val="18"/>
                <w:szCs w:val="18"/>
              </w:rPr>
              <w:t xml:space="preserve">2</w:t>
            </w:r>
          </w:p>
        </w:tc>
        <w:tc>
          <w:tcPr>
            <w:tcW w:type="dxa" w:w="2680"/>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1A1A1A"/>
                <w:sz w:val="18"/>
                <w:szCs w:val="18"/>
              </w:rPr>
              <w:t xml:space="preserve">PCB</w:t>
            </w:r>
          </w:p>
        </w:tc>
        <w:tc>
          <w:tcPr>
            <w:tcW w:type="dxa" w:w="2558"/>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1A1A1A"/>
                <w:sz w:val="17"/>
                <w:szCs w:val="17"/>
              </w:rPr>
              <w:t xml:space="preserve">Custom VibScope carrier, designed in EasyEDA</w:t>
            </w:r>
          </w:p>
        </w:tc>
        <w:tc>
          <w:tcPr>
            <w:tcW w:type="dxa" w:w="877"/>
            <w:tcMar>
              <w:top w:type="dxa" w:w="70"/>
              <w:left w:type="dxa" w:w="100"/>
              <w:bottom w:type="dxa" w:w="70"/>
              <w:right w:type="dxa" w:w="100"/>
            </w:tcMar>
            <w:vAlign w:val="center"/>
          </w:tcPr>
          <w:p>
            <w:pPr>
              <w:spacing w:after="0" w:line="252"/>
              <w:jc w:val="center"/>
            </w:pPr>
            <w:r>
              <w:rPr>
                <w:rFonts w:ascii="Avenir Next LT Pro" w:cs="Avenir Next LT Pro" w:eastAsia="Avenir Next LT Pro" w:hAnsi="Avenir Next LT Pro"/>
                <w:b w:val="false"/>
                <w:bCs w:val="false"/>
                <w:color w:val="1A1A1A"/>
                <w:sz w:val="18"/>
                <w:szCs w:val="18"/>
              </w:rPr>
              <w:t xml:space="preserve">1</w:t>
            </w:r>
          </w:p>
        </w:tc>
        <w:tc>
          <w:tcPr>
            <w:tcW w:type="dxa" w:w="1194"/>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1A1A1A"/>
                <w:sz w:val="17"/>
                <w:szCs w:val="17"/>
              </w:rPr>
              <w:t xml:space="preserve">PCBWay</w:t>
            </w:r>
          </w:p>
        </w:tc>
        <w:tc>
          <w:tcPr>
            <w:tcW w:type="dxa" w:w="962"/>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1A1A1A"/>
                <w:sz w:val="18"/>
                <w:szCs w:val="18"/>
              </w:rPr>
              <w:t xml:space="preserve"/>
            </w:r>
          </w:p>
        </w:tc>
        <w:tc>
          <w:tcPr>
            <w:tcW w:type="dxa" w:w="963"/>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1A1A1A"/>
                <w:sz w:val="18"/>
                <w:szCs w:val="18"/>
              </w:rPr>
              <w:t xml:space="preserve"/>
            </w:r>
          </w:p>
        </w:tc>
      </w:tr>
      <w:tr>
        <w:trPr>
          <w:cantSplit/>
          <w:tblHeader w:val="false"/>
        </w:trPr>
        <w:tc>
          <w:tcPr>
            <w:tcW w:type="dxa" w:w="512"/>
            <w:tcMar>
              <w:top w:type="dxa" w:w="70"/>
              <w:left w:type="dxa" w:w="100"/>
              <w:bottom w:type="dxa" w:w="70"/>
              <w:right w:type="dxa" w:w="100"/>
            </w:tcMar>
            <w:vAlign w:val="center"/>
          </w:tcPr>
          <w:p>
            <w:pPr>
              <w:spacing w:after="0" w:line="252"/>
              <w:jc w:val="center"/>
            </w:pPr>
            <w:r>
              <w:rPr>
                <w:rFonts w:ascii="Avenir Next LT Pro" w:cs="Avenir Next LT Pro" w:eastAsia="Avenir Next LT Pro" w:hAnsi="Avenir Next LT Pro"/>
                <w:b w:val="false"/>
                <w:bCs w:val="false"/>
                <w:color w:val="1A1A1A"/>
                <w:sz w:val="18"/>
                <w:szCs w:val="18"/>
              </w:rPr>
              <w:t xml:space="preserve">3</w:t>
            </w:r>
          </w:p>
        </w:tc>
        <w:tc>
          <w:tcPr>
            <w:tcW w:type="dxa" w:w="2680"/>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1A1A1A"/>
                <w:sz w:val="18"/>
                <w:szCs w:val="18"/>
              </w:rPr>
              <w:t xml:space="preserve">ESP32 module</w:t>
            </w:r>
          </w:p>
        </w:tc>
        <w:tc>
          <w:tcPr>
            <w:tcW w:type="dxa" w:w="2558"/>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1A1A1A"/>
                <w:sz w:val="17"/>
                <w:szCs w:val="17"/>
              </w:rPr>
              <w:t xml:space="preserve">ESP32-WROOM-32U (U.FL external antenna variant)</w:t>
            </w:r>
          </w:p>
        </w:tc>
        <w:tc>
          <w:tcPr>
            <w:tcW w:type="dxa" w:w="877"/>
            <w:tcMar>
              <w:top w:type="dxa" w:w="70"/>
              <w:left w:type="dxa" w:w="100"/>
              <w:bottom w:type="dxa" w:w="70"/>
              <w:right w:type="dxa" w:w="100"/>
            </w:tcMar>
            <w:vAlign w:val="center"/>
          </w:tcPr>
          <w:p>
            <w:pPr>
              <w:spacing w:after="0" w:line="252"/>
              <w:jc w:val="center"/>
            </w:pPr>
            <w:r>
              <w:rPr>
                <w:rFonts w:ascii="Avenir Next LT Pro" w:cs="Avenir Next LT Pro" w:eastAsia="Avenir Next LT Pro" w:hAnsi="Avenir Next LT Pro"/>
                <w:b w:val="false"/>
                <w:bCs w:val="false"/>
                <w:color w:val="1A1A1A"/>
                <w:sz w:val="18"/>
                <w:szCs w:val="18"/>
              </w:rPr>
              <w:t xml:space="preserve">1</w:t>
            </w:r>
          </w:p>
        </w:tc>
        <w:tc>
          <w:tcPr>
            <w:tcW w:type="dxa" w:w="1194"/>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1A1A1A"/>
                <w:sz w:val="17"/>
                <w:szCs w:val="17"/>
              </w:rPr>
              <w:t xml:space="preserve">See §3.1</w:t>
            </w:r>
          </w:p>
        </w:tc>
        <w:tc>
          <w:tcPr>
            <w:tcW w:type="dxa" w:w="962"/>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1A1A1A"/>
                <w:sz w:val="18"/>
                <w:szCs w:val="18"/>
              </w:rPr>
              <w:t xml:space="preserve"/>
            </w:r>
          </w:p>
        </w:tc>
        <w:tc>
          <w:tcPr>
            <w:tcW w:type="dxa" w:w="963"/>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1A1A1A"/>
                <w:sz w:val="18"/>
                <w:szCs w:val="18"/>
              </w:rPr>
              <w:t xml:space="preserve"/>
            </w:r>
          </w:p>
        </w:tc>
      </w:tr>
      <w:tr>
        <w:trPr>
          <w:cantSplit/>
          <w:tblHeader w:val="false"/>
        </w:trPr>
        <w:tc>
          <w:tcPr>
            <w:tcW w:type="dxa" w:w="512"/>
            <w:tcMar>
              <w:top w:type="dxa" w:w="70"/>
              <w:left w:type="dxa" w:w="100"/>
              <w:bottom w:type="dxa" w:w="70"/>
              <w:right w:type="dxa" w:w="100"/>
            </w:tcMar>
            <w:vAlign w:val="center"/>
          </w:tcPr>
          <w:p>
            <w:pPr>
              <w:spacing w:after="0" w:line="252"/>
              <w:jc w:val="center"/>
            </w:pPr>
            <w:r>
              <w:rPr>
                <w:rFonts w:ascii="Avenir Next LT Pro" w:cs="Avenir Next LT Pro" w:eastAsia="Avenir Next LT Pro" w:hAnsi="Avenir Next LT Pro"/>
                <w:b w:val="false"/>
                <w:bCs w:val="false"/>
                <w:color w:val="1A1A1A"/>
                <w:sz w:val="18"/>
                <w:szCs w:val="18"/>
              </w:rPr>
              <w:t xml:space="preserve">4</w:t>
            </w:r>
          </w:p>
        </w:tc>
        <w:tc>
          <w:tcPr>
            <w:tcW w:type="dxa" w:w="2680"/>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1A1A1A"/>
                <w:sz w:val="18"/>
                <w:szCs w:val="18"/>
              </w:rPr>
              <w:t xml:space="preserve">USB-UART bridge</w:t>
            </w:r>
          </w:p>
        </w:tc>
        <w:tc>
          <w:tcPr>
            <w:tcW w:type="dxa" w:w="2558"/>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1A1A1A"/>
                <w:sz w:val="17"/>
                <w:szCs w:val="17"/>
              </w:rPr>
              <w:t xml:space="preserve">CP2102-class USB-to-UART interface</w:t>
            </w:r>
          </w:p>
        </w:tc>
        <w:tc>
          <w:tcPr>
            <w:tcW w:type="dxa" w:w="877"/>
            <w:tcMar>
              <w:top w:type="dxa" w:w="70"/>
              <w:left w:type="dxa" w:w="100"/>
              <w:bottom w:type="dxa" w:w="70"/>
              <w:right w:type="dxa" w:w="100"/>
            </w:tcMar>
            <w:vAlign w:val="center"/>
          </w:tcPr>
          <w:p>
            <w:pPr>
              <w:spacing w:after="0" w:line="252"/>
              <w:jc w:val="center"/>
            </w:pPr>
            <w:r>
              <w:rPr>
                <w:rFonts w:ascii="Avenir Next LT Pro" w:cs="Avenir Next LT Pro" w:eastAsia="Avenir Next LT Pro" w:hAnsi="Avenir Next LT Pro"/>
                <w:b w:val="false"/>
                <w:bCs w:val="false"/>
                <w:color w:val="1A1A1A"/>
                <w:sz w:val="18"/>
                <w:szCs w:val="18"/>
              </w:rPr>
              <w:t xml:space="preserve">1</w:t>
            </w:r>
          </w:p>
        </w:tc>
        <w:tc>
          <w:tcPr>
            <w:tcW w:type="dxa" w:w="1194"/>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1A1A1A"/>
                <w:sz w:val="17"/>
                <w:szCs w:val="17"/>
              </w:rPr>
              <w:t xml:space="preserve">See §3.1</w:t>
            </w:r>
          </w:p>
        </w:tc>
        <w:tc>
          <w:tcPr>
            <w:tcW w:type="dxa" w:w="962"/>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1A1A1A"/>
                <w:sz w:val="18"/>
                <w:szCs w:val="18"/>
              </w:rPr>
              <w:t xml:space="preserve"/>
            </w:r>
          </w:p>
        </w:tc>
        <w:tc>
          <w:tcPr>
            <w:tcW w:type="dxa" w:w="963"/>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1A1A1A"/>
                <w:sz w:val="18"/>
                <w:szCs w:val="18"/>
              </w:rPr>
              <w:t xml:space="preserve"/>
            </w:r>
          </w:p>
        </w:tc>
      </w:tr>
      <w:tr>
        <w:trPr>
          <w:cantSplit/>
          <w:tblHeader w:val="false"/>
        </w:trPr>
        <w:tc>
          <w:tcPr>
            <w:tcW w:type="dxa" w:w="512"/>
            <w:tcMar>
              <w:top w:type="dxa" w:w="70"/>
              <w:left w:type="dxa" w:w="100"/>
              <w:bottom w:type="dxa" w:w="70"/>
              <w:right w:type="dxa" w:w="100"/>
            </w:tcMar>
            <w:vAlign w:val="center"/>
          </w:tcPr>
          <w:p>
            <w:pPr>
              <w:spacing w:after="0" w:line="252"/>
              <w:jc w:val="center"/>
            </w:pPr>
            <w:r>
              <w:rPr>
                <w:rFonts w:ascii="Avenir Next LT Pro" w:cs="Avenir Next LT Pro" w:eastAsia="Avenir Next LT Pro" w:hAnsi="Avenir Next LT Pro"/>
                <w:b w:val="false"/>
                <w:bCs w:val="false"/>
                <w:color w:val="1A1A1A"/>
                <w:sz w:val="18"/>
                <w:szCs w:val="18"/>
              </w:rPr>
              <w:t xml:space="preserve">5</w:t>
            </w:r>
          </w:p>
        </w:tc>
        <w:tc>
          <w:tcPr>
            <w:tcW w:type="dxa" w:w="2680"/>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1A1A1A"/>
                <w:sz w:val="18"/>
                <w:szCs w:val="18"/>
              </w:rPr>
              <w:t xml:space="preserve">Antenna</w:t>
            </w:r>
          </w:p>
        </w:tc>
        <w:tc>
          <w:tcPr>
            <w:tcW w:type="dxa" w:w="2558"/>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1A1A1A"/>
                <w:sz w:val="17"/>
                <w:szCs w:val="17"/>
              </w:rPr>
              <w:t xml:space="preserve">2.4 GHz antenna with U.FL / IPEX lead for WROOM-32U</w:t>
            </w:r>
          </w:p>
        </w:tc>
        <w:tc>
          <w:tcPr>
            <w:tcW w:type="dxa" w:w="877"/>
            <w:tcMar>
              <w:top w:type="dxa" w:w="70"/>
              <w:left w:type="dxa" w:w="100"/>
              <w:bottom w:type="dxa" w:w="70"/>
              <w:right w:type="dxa" w:w="100"/>
            </w:tcMar>
            <w:vAlign w:val="center"/>
          </w:tcPr>
          <w:p>
            <w:pPr>
              <w:spacing w:after="0" w:line="252"/>
              <w:jc w:val="center"/>
            </w:pPr>
            <w:r>
              <w:rPr>
                <w:rFonts w:ascii="Avenir Next LT Pro" w:cs="Avenir Next LT Pro" w:eastAsia="Avenir Next LT Pro" w:hAnsi="Avenir Next LT Pro"/>
                <w:b w:val="false"/>
                <w:bCs w:val="false"/>
                <w:color w:val="1A1A1A"/>
                <w:sz w:val="18"/>
                <w:szCs w:val="18"/>
              </w:rPr>
              <w:t xml:space="preserve">1</w:t>
            </w:r>
          </w:p>
        </w:tc>
        <w:tc>
          <w:tcPr>
            <w:tcW w:type="dxa" w:w="1194"/>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1A1A1A"/>
                <w:sz w:val="17"/>
                <w:szCs w:val="17"/>
              </w:rPr>
              <w:t xml:space="preserve"/>
            </w:r>
          </w:p>
        </w:tc>
        <w:tc>
          <w:tcPr>
            <w:tcW w:type="dxa" w:w="962"/>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1A1A1A"/>
                <w:sz w:val="18"/>
                <w:szCs w:val="18"/>
              </w:rPr>
              <w:t xml:space="preserve"/>
            </w:r>
          </w:p>
        </w:tc>
        <w:tc>
          <w:tcPr>
            <w:tcW w:type="dxa" w:w="963"/>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1A1A1A"/>
                <w:sz w:val="18"/>
                <w:szCs w:val="18"/>
              </w:rPr>
              <w:t xml:space="preserve"/>
            </w:r>
          </w:p>
        </w:tc>
      </w:tr>
      <w:tr>
        <w:trPr>
          <w:cantSplit/>
          <w:tblHeader w:val="false"/>
        </w:trPr>
        <w:tc>
          <w:tcPr>
            <w:tcW w:type="dxa" w:w="512"/>
            <w:tcMar>
              <w:top w:type="dxa" w:w="70"/>
              <w:left w:type="dxa" w:w="100"/>
              <w:bottom w:type="dxa" w:w="70"/>
              <w:right w:type="dxa" w:w="100"/>
            </w:tcMar>
            <w:vAlign w:val="center"/>
          </w:tcPr>
          <w:p>
            <w:pPr>
              <w:spacing w:after="0" w:line="252"/>
              <w:jc w:val="center"/>
            </w:pPr>
            <w:r>
              <w:rPr>
                <w:rFonts w:ascii="Avenir Next LT Pro" w:cs="Avenir Next LT Pro" w:eastAsia="Avenir Next LT Pro" w:hAnsi="Avenir Next LT Pro"/>
                <w:b w:val="false"/>
                <w:bCs w:val="false"/>
                <w:color w:val="1A1A1A"/>
                <w:sz w:val="18"/>
                <w:szCs w:val="18"/>
              </w:rPr>
              <w:t xml:space="preserve">6</w:t>
            </w:r>
          </w:p>
        </w:tc>
        <w:tc>
          <w:tcPr>
            <w:tcW w:type="dxa" w:w="2680"/>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1A1A1A"/>
                <w:sz w:val="18"/>
                <w:szCs w:val="18"/>
              </w:rPr>
              <w:t xml:space="preserve">Power supply</w:t>
            </w:r>
          </w:p>
        </w:tc>
        <w:tc>
          <w:tcPr>
            <w:tcW w:type="dxa" w:w="2558"/>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1A1A1A"/>
                <w:sz w:val="17"/>
                <w:szCs w:val="17"/>
              </w:rPr>
              <w:t xml:space="preserve">Mean Well RS-15-12 — 12 V, 1.3 A, 15.6 W enclosed</w:t>
            </w:r>
          </w:p>
        </w:tc>
        <w:tc>
          <w:tcPr>
            <w:tcW w:type="dxa" w:w="877"/>
            <w:tcMar>
              <w:top w:type="dxa" w:w="70"/>
              <w:left w:type="dxa" w:w="100"/>
              <w:bottom w:type="dxa" w:w="70"/>
              <w:right w:type="dxa" w:w="100"/>
            </w:tcMar>
            <w:vAlign w:val="center"/>
          </w:tcPr>
          <w:p>
            <w:pPr>
              <w:spacing w:after="0" w:line="252"/>
              <w:jc w:val="center"/>
            </w:pPr>
            <w:r>
              <w:rPr>
                <w:rFonts w:ascii="Avenir Next LT Pro" w:cs="Avenir Next LT Pro" w:eastAsia="Avenir Next LT Pro" w:hAnsi="Avenir Next LT Pro"/>
                <w:b w:val="false"/>
                <w:bCs w:val="false"/>
                <w:color w:val="1A1A1A"/>
                <w:sz w:val="18"/>
                <w:szCs w:val="18"/>
              </w:rPr>
              <w:t xml:space="preserve">1</w:t>
            </w:r>
          </w:p>
        </w:tc>
        <w:tc>
          <w:tcPr>
            <w:tcW w:type="dxa" w:w="1194"/>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1A1A1A"/>
                <w:sz w:val="17"/>
                <w:szCs w:val="17"/>
              </w:rPr>
              <w:t xml:space="preserve">Mean Well</w:t>
            </w:r>
          </w:p>
        </w:tc>
        <w:tc>
          <w:tcPr>
            <w:tcW w:type="dxa" w:w="962"/>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1A1A1A"/>
                <w:sz w:val="18"/>
                <w:szCs w:val="18"/>
              </w:rPr>
              <w:t xml:space="preserve"/>
            </w:r>
          </w:p>
        </w:tc>
        <w:tc>
          <w:tcPr>
            <w:tcW w:type="dxa" w:w="963"/>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1A1A1A"/>
                <w:sz w:val="18"/>
                <w:szCs w:val="18"/>
              </w:rPr>
              <w:t xml:space="preserve"/>
            </w:r>
          </w:p>
        </w:tc>
      </w:tr>
      <w:tr>
        <w:trPr>
          <w:cantSplit/>
          <w:tblHeader w:val="false"/>
        </w:trPr>
        <w:tc>
          <w:tcPr>
            <w:tcW w:type="dxa" w:w="512"/>
            <w:tcMar>
              <w:top w:type="dxa" w:w="70"/>
              <w:left w:type="dxa" w:w="100"/>
              <w:bottom w:type="dxa" w:w="70"/>
              <w:right w:type="dxa" w:w="100"/>
            </w:tcMar>
            <w:vAlign w:val="center"/>
          </w:tcPr>
          <w:p>
            <w:pPr>
              <w:spacing w:after="0" w:line="252"/>
              <w:jc w:val="center"/>
            </w:pPr>
            <w:r>
              <w:rPr>
                <w:rFonts w:ascii="Avenir Next LT Pro" w:cs="Avenir Next LT Pro" w:eastAsia="Avenir Next LT Pro" w:hAnsi="Avenir Next LT Pro"/>
                <w:b w:val="false"/>
                <w:bCs w:val="false"/>
                <w:color w:val="1A1A1A"/>
                <w:sz w:val="18"/>
                <w:szCs w:val="18"/>
              </w:rPr>
              <w:t xml:space="preserve">7</w:t>
            </w:r>
          </w:p>
        </w:tc>
        <w:tc>
          <w:tcPr>
            <w:tcW w:type="dxa" w:w="2680"/>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1A1A1A"/>
                <w:sz w:val="18"/>
                <w:szCs w:val="18"/>
              </w:rPr>
              <w:t xml:space="preserve">DC-DC converter</w:t>
            </w:r>
          </w:p>
        </w:tc>
        <w:tc>
          <w:tcPr>
            <w:tcW w:type="dxa" w:w="2558"/>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1A1A1A"/>
                <w:sz w:val="17"/>
                <w:szCs w:val="17"/>
              </w:rPr>
              <w:t xml:space="preserve">Murata OKI-78SR-5/1.5-W36-C — 7–36 Vin, 5 V 1.5 A</w:t>
            </w:r>
          </w:p>
        </w:tc>
        <w:tc>
          <w:tcPr>
            <w:tcW w:type="dxa" w:w="877"/>
            <w:tcMar>
              <w:top w:type="dxa" w:w="70"/>
              <w:left w:type="dxa" w:w="100"/>
              <w:bottom w:type="dxa" w:w="70"/>
              <w:right w:type="dxa" w:w="100"/>
            </w:tcMar>
            <w:vAlign w:val="center"/>
          </w:tcPr>
          <w:p>
            <w:pPr>
              <w:spacing w:after="0" w:line="252"/>
              <w:jc w:val="center"/>
            </w:pPr>
            <w:r>
              <w:rPr>
                <w:rFonts w:ascii="Avenir Next LT Pro" w:cs="Avenir Next LT Pro" w:eastAsia="Avenir Next LT Pro" w:hAnsi="Avenir Next LT Pro"/>
                <w:b w:val="false"/>
                <w:bCs w:val="false"/>
                <w:color w:val="1A1A1A"/>
                <w:sz w:val="18"/>
                <w:szCs w:val="18"/>
              </w:rPr>
              <w:t xml:space="preserve">1</w:t>
            </w:r>
          </w:p>
        </w:tc>
        <w:tc>
          <w:tcPr>
            <w:tcW w:type="dxa" w:w="1194"/>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1A1A1A"/>
                <w:sz w:val="17"/>
                <w:szCs w:val="17"/>
              </w:rPr>
              <w:t xml:space="preserve">Murata</w:t>
            </w:r>
          </w:p>
        </w:tc>
        <w:tc>
          <w:tcPr>
            <w:tcW w:type="dxa" w:w="962"/>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1A1A1A"/>
                <w:sz w:val="18"/>
                <w:szCs w:val="18"/>
              </w:rPr>
              <w:t xml:space="preserve"/>
            </w:r>
          </w:p>
        </w:tc>
        <w:tc>
          <w:tcPr>
            <w:tcW w:type="dxa" w:w="963"/>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1A1A1A"/>
                <w:sz w:val="18"/>
                <w:szCs w:val="18"/>
              </w:rPr>
              <w:t xml:space="preserve"/>
            </w:r>
          </w:p>
        </w:tc>
      </w:tr>
      <w:tr>
        <w:trPr>
          <w:cantSplit/>
          <w:tblHeader w:val="false"/>
        </w:trPr>
        <w:tc>
          <w:tcPr>
            <w:tcW w:type="dxa" w:w="512"/>
            <w:tcMar>
              <w:top w:type="dxa" w:w="70"/>
              <w:left w:type="dxa" w:w="100"/>
              <w:bottom w:type="dxa" w:w="70"/>
              <w:right w:type="dxa" w:w="100"/>
            </w:tcMar>
            <w:vAlign w:val="center"/>
          </w:tcPr>
          <w:p>
            <w:pPr>
              <w:spacing w:after="0" w:line="252"/>
              <w:jc w:val="center"/>
            </w:pPr>
            <w:r>
              <w:rPr>
                <w:rFonts w:ascii="Avenir Next LT Pro" w:cs="Avenir Next LT Pro" w:eastAsia="Avenir Next LT Pro" w:hAnsi="Avenir Next LT Pro"/>
                <w:b w:val="false"/>
                <w:bCs w:val="false"/>
                <w:color w:val="1A1A1A"/>
                <w:sz w:val="18"/>
                <w:szCs w:val="18"/>
              </w:rPr>
              <w:t xml:space="preserve">8</w:t>
            </w:r>
          </w:p>
        </w:tc>
        <w:tc>
          <w:tcPr>
            <w:tcW w:type="dxa" w:w="2680"/>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1A1A1A"/>
                <w:sz w:val="18"/>
                <w:szCs w:val="18"/>
              </w:rPr>
              <w:t xml:space="preserve">RS-485 interface</w:t>
            </w:r>
          </w:p>
        </w:tc>
        <w:tc>
          <w:tcPr>
            <w:tcW w:type="dxa" w:w="2558"/>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1A1A1A"/>
                <w:sz w:val="17"/>
                <w:szCs w:val="17"/>
              </w:rPr>
              <w:t xml:space="preserve">Industrial isolated TTL ⇄ RS-485 module (MCU UART)</w:t>
            </w:r>
          </w:p>
        </w:tc>
        <w:tc>
          <w:tcPr>
            <w:tcW w:type="dxa" w:w="877"/>
            <w:tcMar>
              <w:top w:type="dxa" w:w="70"/>
              <w:left w:type="dxa" w:w="100"/>
              <w:bottom w:type="dxa" w:w="70"/>
              <w:right w:type="dxa" w:w="100"/>
            </w:tcMar>
            <w:vAlign w:val="center"/>
          </w:tcPr>
          <w:p>
            <w:pPr>
              <w:spacing w:after="0" w:line="252"/>
              <w:jc w:val="center"/>
            </w:pPr>
            <w:r>
              <w:rPr>
                <w:rFonts w:ascii="Avenir Next LT Pro" w:cs="Avenir Next LT Pro" w:eastAsia="Avenir Next LT Pro" w:hAnsi="Avenir Next LT Pro"/>
                <w:b w:val="false"/>
                <w:bCs w:val="false"/>
                <w:color w:val="1A1A1A"/>
                <w:sz w:val="18"/>
                <w:szCs w:val="18"/>
              </w:rPr>
              <w:t xml:space="preserve">1</w:t>
            </w:r>
          </w:p>
        </w:tc>
        <w:tc>
          <w:tcPr>
            <w:tcW w:type="dxa" w:w="1194"/>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1A1A1A"/>
                <w:sz w:val="17"/>
                <w:szCs w:val="17"/>
              </w:rPr>
              <w:t xml:space="preserve">Shopee MY</w:t>
            </w:r>
          </w:p>
        </w:tc>
        <w:tc>
          <w:tcPr>
            <w:tcW w:type="dxa" w:w="962"/>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1A1A1A"/>
                <w:sz w:val="18"/>
                <w:szCs w:val="18"/>
              </w:rPr>
              <w:t xml:space="preserve"/>
            </w:r>
          </w:p>
        </w:tc>
        <w:tc>
          <w:tcPr>
            <w:tcW w:type="dxa" w:w="963"/>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1A1A1A"/>
                <w:sz w:val="18"/>
                <w:szCs w:val="18"/>
              </w:rPr>
              <w:t xml:space="preserve"/>
            </w:r>
          </w:p>
        </w:tc>
      </w:tr>
      <w:tr>
        <w:trPr>
          <w:cantSplit/>
          <w:tblHeader w:val="false"/>
        </w:trPr>
        <w:tc>
          <w:tcPr>
            <w:tcW w:type="dxa" w:w="512"/>
            <w:tcMar>
              <w:top w:type="dxa" w:w="70"/>
              <w:left w:type="dxa" w:w="100"/>
              <w:bottom w:type="dxa" w:w="70"/>
              <w:right w:type="dxa" w:w="100"/>
            </w:tcMar>
            <w:vAlign w:val="center"/>
          </w:tcPr>
          <w:p>
            <w:pPr>
              <w:spacing w:after="0" w:line="252"/>
              <w:jc w:val="center"/>
            </w:pPr>
            <w:r>
              <w:rPr>
                <w:rFonts w:ascii="Avenir Next LT Pro" w:cs="Avenir Next LT Pro" w:eastAsia="Avenir Next LT Pro" w:hAnsi="Avenir Next LT Pro"/>
                <w:b w:val="false"/>
                <w:bCs w:val="false"/>
                <w:color w:val="1A1A1A"/>
                <w:sz w:val="18"/>
                <w:szCs w:val="18"/>
              </w:rPr>
              <w:t xml:space="preserve">9</w:t>
            </w:r>
          </w:p>
        </w:tc>
        <w:tc>
          <w:tcPr>
            <w:tcW w:type="dxa" w:w="2680"/>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1A1A1A"/>
                <w:sz w:val="18"/>
                <w:szCs w:val="18"/>
              </w:rPr>
              <w:t xml:space="preserve">Cable gland</w:t>
            </w:r>
          </w:p>
        </w:tc>
        <w:tc>
          <w:tcPr>
            <w:tcW w:type="dxa" w:w="2558"/>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1A1A1A"/>
                <w:sz w:val="17"/>
                <w:szCs w:val="17"/>
              </w:rPr>
              <w:t xml:space="preserve">PG11, stainless steel — mains entry</w:t>
            </w:r>
          </w:p>
        </w:tc>
        <w:tc>
          <w:tcPr>
            <w:tcW w:type="dxa" w:w="877"/>
            <w:tcMar>
              <w:top w:type="dxa" w:w="70"/>
              <w:left w:type="dxa" w:w="100"/>
              <w:bottom w:type="dxa" w:w="70"/>
              <w:right w:type="dxa" w:w="100"/>
            </w:tcMar>
            <w:vAlign w:val="center"/>
          </w:tcPr>
          <w:p>
            <w:pPr>
              <w:spacing w:after="0" w:line="252"/>
              <w:jc w:val="center"/>
            </w:pPr>
            <w:r>
              <w:rPr>
                <w:rFonts w:ascii="Avenir Next LT Pro" w:cs="Avenir Next LT Pro" w:eastAsia="Avenir Next LT Pro" w:hAnsi="Avenir Next LT Pro"/>
                <w:b w:val="false"/>
                <w:bCs w:val="false"/>
                <w:color w:val="1A1A1A"/>
                <w:sz w:val="18"/>
                <w:szCs w:val="18"/>
              </w:rPr>
              <w:t xml:space="preserve">1</w:t>
            </w:r>
          </w:p>
        </w:tc>
        <w:tc>
          <w:tcPr>
            <w:tcW w:type="dxa" w:w="1194"/>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1A1A1A"/>
                <w:sz w:val="17"/>
                <w:szCs w:val="17"/>
              </w:rPr>
              <w:t xml:space="preserve"/>
            </w:r>
          </w:p>
        </w:tc>
        <w:tc>
          <w:tcPr>
            <w:tcW w:type="dxa" w:w="962"/>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1A1A1A"/>
                <w:sz w:val="18"/>
                <w:szCs w:val="18"/>
              </w:rPr>
              <w:t xml:space="preserve"/>
            </w:r>
          </w:p>
        </w:tc>
        <w:tc>
          <w:tcPr>
            <w:tcW w:type="dxa" w:w="963"/>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1A1A1A"/>
                <w:sz w:val="18"/>
                <w:szCs w:val="18"/>
              </w:rPr>
              <w:t xml:space="preserve"/>
            </w:r>
          </w:p>
        </w:tc>
      </w:tr>
      <w:tr>
        <w:trPr>
          <w:cantSplit/>
          <w:tblHeader w:val="false"/>
        </w:trPr>
        <w:tc>
          <w:tcPr>
            <w:tcW w:type="dxa" w:w="512"/>
            <w:tcMar>
              <w:top w:type="dxa" w:w="70"/>
              <w:left w:type="dxa" w:w="100"/>
              <w:bottom w:type="dxa" w:w="70"/>
              <w:right w:type="dxa" w:w="100"/>
            </w:tcMar>
            <w:vAlign w:val="center"/>
          </w:tcPr>
          <w:p>
            <w:pPr>
              <w:spacing w:after="0" w:line="252"/>
              <w:jc w:val="center"/>
            </w:pPr>
            <w:r>
              <w:rPr>
                <w:rFonts w:ascii="Avenir Next LT Pro" w:cs="Avenir Next LT Pro" w:eastAsia="Avenir Next LT Pro" w:hAnsi="Avenir Next LT Pro"/>
                <w:b w:val="false"/>
                <w:bCs w:val="false"/>
                <w:color w:val="1A1A1A"/>
                <w:sz w:val="18"/>
                <w:szCs w:val="18"/>
              </w:rPr>
              <w:t xml:space="preserve">10</w:t>
            </w:r>
          </w:p>
        </w:tc>
        <w:tc>
          <w:tcPr>
            <w:tcW w:type="dxa" w:w="2680"/>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1A1A1A"/>
                <w:sz w:val="18"/>
                <w:szCs w:val="18"/>
              </w:rPr>
              <w:t xml:space="preserve">Mains cable</w:t>
            </w:r>
          </w:p>
        </w:tc>
        <w:tc>
          <w:tcPr>
            <w:tcW w:type="dxa" w:w="2558"/>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1A1A1A"/>
                <w:sz w:val="17"/>
                <w:szCs w:val="17"/>
              </w:rPr>
              <w:t xml:space="preserve">Fajar 1 mm² 3-core (L / N / E)</w:t>
            </w:r>
          </w:p>
        </w:tc>
        <w:tc>
          <w:tcPr>
            <w:tcW w:type="dxa" w:w="877"/>
            <w:tcMar>
              <w:top w:type="dxa" w:w="70"/>
              <w:left w:type="dxa" w:w="100"/>
              <w:bottom w:type="dxa" w:w="70"/>
              <w:right w:type="dxa" w:w="100"/>
            </w:tcMar>
            <w:vAlign w:val="center"/>
          </w:tcPr>
          <w:p>
            <w:pPr>
              <w:spacing w:after="0" w:line="252"/>
              <w:jc w:val="center"/>
            </w:pPr>
            <w:r>
              <w:rPr>
                <w:rFonts w:ascii="Avenir Next LT Pro" w:cs="Avenir Next LT Pro" w:eastAsia="Avenir Next LT Pro" w:hAnsi="Avenir Next LT Pro"/>
                <w:b w:val="false"/>
                <w:bCs w:val="false"/>
                <w:color w:val="1A1A1A"/>
                <w:sz w:val="18"/>
                <w:szCs w:val="18"/>
              </w:rPr>
              <w:t xml:space="preserve">A/R</w:t>
            </w:r>
          </w:p>
        </w:tc>
        <w:tc>
          <w:tcPr>
            <w:tcW w:type="dxa" w:w="1194"/>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1A1A1A"/>
                <w:sz w:val="17"/>
                <w:szCs w:val="17"/>
              </w:rPr>
              <w:t xml:space="preserve">Fajar</w:t>
            </w:r>
          </w:p>
        </w:tc>
        <w:tc>
          <w:tcPr>
            <w:tcW w:type="dxa" w:w="962"/>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1A1A1A"/>
                <w:sz w:val="18"/>
                <w:szCs w:val="18"/>
              </w:rPr>
              <w:t xml:space="preserve"/>
            </w:r>
          </w:p>
        </w:tc>
        <w:tc>
          <w:tcPr>
            <w:tcW w:type="dxa" w:w="963"/>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1A1A1A"/>
                <w:sz w:val="18"/>
                <w:szCs w:val="18"/>
              </w:rPr>
              <w:t xml:space="preserve"/>
            </w:r>
          </w:p>
        </w:tc>
      </w:tr>
      <w:tr>
        <w:trPr>
          <w:cantSplit/>
          <w:tblHeader w:val="false"/>
        </w:trPr>
        <w:tc>
          <w:tcPr>
            <w:tcW w:type="dxa" w:w="512"/>
            <w:tcMar>
              <w:top w:type="dxa" w:w="70"/>
              <w:left w:type="dxa" w:w="100"/>
              <w:bottom w:type="dxa" w:w="70"/>
              <w:right w:type="dxa" w:w="100"/>
            </w:tcMar>
            <w:vAlign w:val="center"/>
          </w:tcPr>
          <w:p>
            <w:pPr>
              <w:spacing w:after="0" w:line="252"/>
              <w:jc w:val="center"/>
            </w:pPr>
            <w:r>
              <w:rPr>
                <w:rFonts w:ascii="Avenir Next LT Pro" w:cs="Avenir Next LT Pro" w:eastAsia="Avenir Next LT Pro" w:hAnsi="Avenir Next LT Pro"/>
                <w:b w:val="false"/>
                <w:bCs w:val="false"/>
                <w:color w:val="1A1A1A"/>
                <w:sz w:val="18"/>
                <w:szCs w:val="18"/>
              </w:rPr>
              <w:t xml:space="preserve">11</w:t>
            </w:r>
          </w:p>
        </w:tc>
        <w:tc>
          <w:tcPr>
            <w:tcW w:type="dxa" w:w="2680"/>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1A1A1A"/>
                <w:sz w:val="18"/>
                <w:szCs w:val="18"/>
              </w:rPr>
              <w:t xml:space="preserve">M12 connector, panel</w:t>
            </w:r>
          </w:p>
        </w:tc>
        <w:tc>
          <w:tcPr>
            <w:tcW w:type="dxa" w:w="2558"/>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1A1A1A"/>
                <w:sz w:val="17"/>
                <w:szCs w:val="17"/>
              </w:rPr>
              <w:t xml:space="preserve">M12 4-pin — sensor interface at the enclosure</w:t>
            </w:r>
          </w:p>
        </w:tc>
        <w:tc>
          <w:tcPr>
            <w:tcW w:type="dxa" w:w="877"/>
            <w:tcMar>
              <w:top w:type="dxa" w:w="70"/>
              <w:left w:type="dxa" w:w="100"/>
              <w:bottom w:type="dxa" w:w="70"/>
              <w:right w:type="dxa" w:w="100"/>
            </w:tcMar>
            <w:vAlign w:val="center"/>
          </w:tcPr>
          <w:p>
            <w:pPr>
              <w:spacing w:after="0" w:line="252"/>
              <w:jc w:val="center"/>
            </w:pPr>
            <w:r>
              <w:rPr>
                <w:rFonts w:ascii="Avenir Next LT Pro" w:cs="Avenir Next LT Pro" w:eastAsia="Avenir Next LT Pro" w:hAnsi="Avenir Next LT Pro"/>
                <w:b w:val="false"/>
                <w:bCs w:val="false"/>
                <w:color w:val="1A1A1A"/>
                <w:sz w:val="18"/>
                <w:szCs w:val="18"/>
              </w:rPr>
              <w:t xml:space="preserve">1</w:t>
            </w:r>
          </w:p>
        </w:tc>
        <w:tc>
          <w:tcPr>
            <w:tcW w:type="dxa" w:w="1194"/>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1A1A1A"/>
                <w:sz w:val="17"/>
                <w:szCs w:val="17"/>
              </w:rPr>
              <w:t xml:space="preserve"/>
            </w:r>
          </w:p>
        </w:tc>
        <w:tc>
          <w:tcPr>
            <w:tcW w:type="dxa" w:w="962"/>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1A1A1A"/>
                <w:sz w:val="18"/>
                <w:szCs w:val="18"/>
              </w:rPr>
              <w:t xml:space="preserve"/>
            </w:r>
          </w:p>
        </w:tc>
        <w:tc>
          <w:tcPr>
            <w:tcW w:type="dxa" w:w="963"/>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1A1A1A"/>
                <w:sz w:val="18"/>
                <w:szCs w:val="18"/>
              </w:rPr>
              <w:t xml:space="preserve"/>
            </w:r>
          </w:p>
        </w:tc>
      </w:tr>
      <w:tr>
        <w:trPr>
          <w:cantSplit/>
          <w:tblHeader w:val="false"/>
        </w:trPr>
        <w:tc>
          <w:tcPr>
            <w:tcW w:type="dxa" w:w="512"/>
            <w:tcMar>
              <w:top w:type="dxa" w:w="70"/>
              <w:left w:type="dxa" w:w="100"/>
              <w:bottom w:type="dxa" w:w="70"/>
              <w:right w:type="dxa" w:w="100"/>
            </w:tcMar>
            <w:vAlign w:val="center"/>
          </w:tcPr>
          <w:p>
            <w:pPr>
              <w:spacing w:after="0" w:line="252"/>
              <w:jc w:val="center"/>
            </w:pPr>
            <w:r>
              <w:rPr>
                <w:rFonts w:ascii="Avenir Next LT Pro" w:cs="Avenir Next LT Pro" w:eastAsia="Avenir Next LT Pro" w:hAnsi="Avenir Next LT Pro"/>
                <w:b w:val="false"/>
                <w:bCs w:val="false"/>
                <w:color w:val="1A1A1A"/>
                <w:sz w:val="18"/>
                <w:szCs w:val="18"/>
              </w:rPr>
              <w:t xml:space="preserve">12</w:t>
            </w:r>
          </w:p>
        </w:tc>
        <w:tc>
          <w:tcPr>
            <w:tcW w:type="dxa" w:w="2680"/>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1A1A1A"/>
                <w:sz w:val="18"/>
                <w:szCs w:val="18"/>
              </w:rPr>
              <w:t xml:space="preserve">M12 connector, cable</w:t>
            </w:r>
          </w:p>
        </w:tc>
        <w:tc>
          <w:tcPr>
            <w:tcW w:type="dxa" w:w="2558"/>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1A1A1A"/>
                <w:sz w:val="17"/>
                <w:szCs w:val="17"/>
              </w:rPr>
              <w:t xml:space="preserve">M12 4-pin female — sensor cable termination</w:t>
            </w:r>
          </w:p>
        </w:tc>
        <w:tc>
          <w:tcPr>
            <w:tcW w:type="dxa" w:w="877"/>
            <w:tcMar>
              <w:top w:type="dxa" w:w="70"/>
              <w:left w:type="dxa" w:w="100"/>
              <w:bottom w:type="dxa" w:w="70"/>
              <w:right w:type="dxa" w:w="100"/>
            </w:tcMar>
            <w:vAlign w:val="center"/>
          </w:tcPr>
          <w:p>
            <w:pPr>
              <w:spacing w:after="0" w:line="252"/>
              <w:jc w:val="center"/>
            </w:pPr>
            <w:r>
              <w:rPr>
                <w:rFonts w:ascii="Avenir Next LT Pro" w:cs="Avenir Next LT Pro" w:eastAsia="Avenir Next LT Pro" w:hAnsi="Avenir Next LT Pro"/>
                <w:b w:val="false"/>
                <w:bCs w:val="false"/>
                <w:color w:val="1A1A1A"/>
                <w:sz w:val="18"/>
                <w:szCs w:val="18"/>
              </w:rPr>
              <w:t xml:space="preserve">1</w:t>
            </w:r>
          </w:p>
        </w:tc>
        <w:tc>
          <w:tcPr>
            <w:tcW w:type="dxa" w:w="1194"/>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1A1A1A"/>
                <w:sz w:val="17"/>
                <w:szCs w:val="17"/>
              </w:rPr>
              <w:t xml:space="preserve"/>
            </w:r>
          </w:p>
        </w:tc>
        <w:tc>
          <w:tcPr>
            <w:tcW w:type="dxa" w:w="962"/>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1A1A1A"/>
                <w:sz w:val="18"/>
                <w:szCs w:val="18"/>
              </w:rPr>
              <w:t xml:space="preserve"/>
            </w:r>
          </w:p>
        </w:tc>
        <w:tc>
          <w:tcPr>
            <w:tcW w:type="dxa" w:w="963"/>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1A1A1A"/>
                <w:sz w:val="18"/>
                <w:szCs w:val="18"/>
              </w:rPr>
              <w:t xml:space="preserve"/>
            </w:r>
          </w:p>
        </w:tc>
      </w:tr>
      <w:tr>
        <w:trPr>
          <w:cantSplit/>
          <w:tblHeader w:val="false"/>
        </w:trPr>
        <w:tc>
          <w:tcPr>
            <w:tcW w:type="dxa" w:w="512"/>
            <w:tcMar>
              <w:top w:type="dxa" w:w="70"/>
              <w:left w:type="dxa" w:w="100"/>
              <w:bottom w:type="dxa" w:w="70"/>
              <w:right w:type="dxa" w:w="100"/>
            </w:tcMar>
            <w:vAlign w:val="center"/>
          </w:tcPr>
          <w:p>
            <w:pPr>
              <w:spacing w:after="0" w:line="252"/>
              <w:jc w:val="center"/>
            </w:pPr>
            <w:r>
              <w:rPr>
                <w:rFonts w:ascii="Avenir Next LT Pro" w:cs="Avenir Next LT Pro" w:eastAsia="Avenir Next LT Pro" w:hAnsi="Avenir Next LT Pro"/>
                <w:b w:val="false"/>
                <w:bCs w:val="false"/>
                <w:color w:val="1A1A1A"/>
                <w:sz w:val="18"/>
                <w:szCs w:val="18"/>
              </w:rPr>
              <w:t xml:space="preserve">13</w:t>
            </w:r>
          </w:p>
        </w:tc>
        <w:tc>
          <w:tcPr>
            <w:tcW w:type="dxa" w:w="2680"/>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1A1A1A"/>
                <w:sz w:val="18"/>
                <w:szCs w:val="18"/>
              </w:rPr>
              <w:t xml:space="preserve">Header, 19-pin</w:t>
            </w:r>
          </w:p>
        </w:tc>
        <w:tc>
          <w:tcPr>
            <w:tcW w:type="dxa" w:w="2558"/>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1A1A1A"/>
                <w:sz w:val="17"/>
                <w:szCs w:val="17"/>
              </w:rPr>
              <w:t xml:space="preserve">2.54 mm female header, 19-way</w:t>
            </w:r>
          </w:p>
        </w:tc>
        <w:tc>
          <w:tcPr>
            <w:tcW w:type="dxa" w:w="877"/>
            <w:tcMar>
              <w:top w:type="dxa" w:w="70"/>
              <w:left w:type="dxa" w:w="100"/>
              <w:bottom w:type="dxa" w:w="70"/>
              <w:right w:type="dxa" w:w="100"/>
            </w:tcMar>
            <w:vAlign w:val="center"/>
          </w:tcPr>
          <w:p>
            <w:pPr>
              <w:spacing w:after="0" w:line="252"/>
              <w:jc w:val="center"/>
            </w:pPr>
            <w:r>
              <w:rPr>
                <w:rFonts w:ascii="Avenir Next LT Pro" w:cs="Avenir Next LT Pro" w:eastAsia="Avenir Next LT Pro" w:hAnsi="Avenir Next LT Pro"/>
                <w:b w:val="false"/>
                <w:bCs w:val="false"/>
                <w:color w:val="1A1A1A"/>
                <w:sz w:val="18"/>
                <w:szCs w:val="18"/>
              </w:rPr>
              <w:t xml:space="preserve">2</w:t>
            </w:r>
          </w:p>
        </w:tc>
        <w:tc>
          <w:tcPr>
            <w:tcW w:type="dxa" w:w="1194"/>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1A1A1A"/>
                <w:sz w:val="17"/>
                <w:szCs w:val="17"/>
              </w:rPr>
              <w:t xml:space="preserve"/>
            </w:r>
          </w:p>
        </w:tc>
        <w:tc>
          <w:tcPr>
            <w:tcW w:type="dxa" w:w="962"/>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1A1A1A"/>
                <w:sz w:val="18"/>
                <w:szCs w:val="18"/>
              </w:rPr>
              <w:t xml:space="preserve"/>
            </w:r>
          </w:p>
        </w:tc>
        <w:tc>
          <w:tcPr>
            <w:tcW w:type="dxa" w:w="963"/>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1A1A1A"/>
                <w:sz w:val="18"/>
                <w:szCs w:val="18"/>
              </w:rPr>
              <w:t xml:space="preserve"/>
            </w:r>
          </w:p>
        </w:tc>
      </w:tr>
      <w:tr>
        <w:trPr>
          <w:cantSplit/>
          <w:tblHeader w:val="false"/>
        </w:trPr>
        <w:tc>
          <w:tcPr>
            <w:tcW w:type="dxa" w:w="512"/>
            <w:tcMar>
              <w:top w:type="dxa" w:w="70"/>
              <w:left w:type="dxa" w:w="100"/>
              <w:bottom w:type="dxa" w:w="70"/>
              <w:right w:type="dxa" w:w="100"/>
            </w:tcMar>
            <w:vAlign w:val="center"/>
          </w:tcPr>
          <w:p>
            <w:pPr>
              <w:spacing w:after="0" w:line="252"/>
              <w:jc w:val="center"/>
            </w:pPr>
            <w:r>
              <w:rPr>
                <w:rFonts w:ascii="Avenir Next LT Pro" w:cs="Avenir Next LT Pro" w:eastAsia="Avenir Next LT Pro" w:hAnsi="Avenir Next LT Pro"/>
                <w:b w:val="false"/>
                <w:bCs w:val="false"/>
                <w:color w:val="1A1A1A"/>
                <w:sz w:val="18"/>
                <w:szCs w:val="18"/>
              </w:rPr>
              <w:t xml:space="preserve">14</w:t>
            </w:r>
          </w:p>
        </w:tc>
        <w:tc>
          <w:tcPr>
            <w:tcW w:type="dxa" w:w="2680"/>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1A1A1A"/>
                <w:sz w:val="18"/>
                <w:szCs w:val="18"/>
              </w:rPr>
              <w:t xml:space="preserve">Header, 4-pin</w:t>
            </w:r>
          </w:p>
        </w:tc>
        <w:tc>
          <w:tcPr>
            <w:tcW w:type="dxa" w:w="2558"/>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1A1A1A"/>
                <w:sz w:val="17"/>
                <w:szCs w:val="17"/>
              </w:rPr>
              <w:t xml:space="preserve">2.54 mm female header, 4-way</w:t>
            </w:r>
          </w:p>
        </w:tc>
        <w:tc>
          <w:tcPr>
            <w:tcW w:type="dxa" w:w="877"/>
            <w:tcMar>
              <w:top w:type="dxa" w:w="70"/>
              <w:left w:type="dxa" w:w="100"/>
              <w:bottom w:type="dxa" w:w="70"/>
              <w:right w:type="dxa" w:w="100"/>
            </w:tcMar>
            <w:vAlign w:val="center"/>
          </w:tcPr>
          <w:p>
            <w:pPr>
              <w:spacing w:after="0" w:line="252"/>
              <w:jc w:val="center"/>
            </w:pPr>
            <w:r>
              <w:rPr>
                <w:rFonts w:ascii="Avenir Next LT Pro" w:cs="Avenir Next LT Pro" w:eastAsia="Avenir Next LT Pro" w:hAnsi="Avenir Next LT Pro"/>
                <w:b w:val="false"/>
                <w:bCs w:val="false"/>
                <w:color w:val="1A1A1A"/>
                <w:sz w:val="18"/>
                <w:szCs w:val="18"/>
              </w:rPr>
              <w:t xml:space="preserve">2</w:t>
            </w:r>
          </w:p>
        </w:tc>
        <w:tc>
          <w:tcPr>
            <w:tcW w:type="dxa" w:w="1194"/>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1A1A1A"/>
                <w:sz w:val="17"/>
                <w:szCs w:val="17"/>
              </w:rPr>
              <w:t xml:space="preserve"/>
            </w:r>
          </w:p>
        </w:tc>
        <w:tc>
          <w:tcPr>
            <w:tcW w:type="dxa" w:w="962"/>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1A1A1A"/>
                <w:sz w:val="18"/>
                <w:szCs w:val="18"/>
              </w:rPr>
              <w:t xml:space="preserve"/>
            </w:r>
          </w:p>
        </w:tc>
        <w:tc>
          <w:tcPr>
            <w:tcW w:type="dxa" w:w="963"/>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1A1A1A"/>
                <w:sz w:val="18"/>
                <w:szCs w:val="18"/>
              </w:rPr>
              <w:t xml:space="preserve"/>
            </w:r>
          </w:p>
        </w:tc>
      </w:tr>
      <w:tr>
        <w:trPr>
          <w:cantSplit/>
          <w:tblHeader w:val="false"/>
        </w:trPr>
        <w:tc>
          <w:tcPr>
            <w:tcW w:type="dxa" w:w="512"/>
            <w:tcMar>
              <w:top w:type="dxa" w:w="70"/>
              <w:left w:type="dxa" w:w="100"/>
              <w:bottom w:type="dxa" w:w="70"/>
              <w:right w:type="dxa" w:w="100"/>
            </w:tcMar>
            <w:vAlign w:val="center"/>
          </w:tcPr>
          <w:p>
            <w:pPr>
              <w:spacing w:after="0" w:line="252"/>
              <w:jc w:val="center"/>
            </w:pPr>
            <w:r>
              <w:rPr>
                <w:rFonts w:ascii="Avenir Next LT Pro" w:cs="Avenir Next LT Pro" w:eastAsia="Avenir Next LT Pro" w:hAnsi="Avenir Next LT Pro"/>
                <w:b w:val="false"/>
                <w:bCs w:val="false"/>
                <w:color w:val="1A1A1A"/>
                <w:sz w:val="18"/>
                <w:szCs w:val="18"/>
              </w:rPr>
              <w:t xml:space="preserve">15</w:t>
            </w:r>
          </w:p>
        </w:tc>
        <w:tc>
          <w:tcPr>
            <w:tcW w:type="dxa" w:w="2680"/>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1A1A1A"/>
                <w:sz w:val="18"/>
                <w:szCs w:val="18"/>
              </w:rPr>
              <w:t xml:space="preserve">Header pins</w:t>
            </w:r>
          </w:p>
        </w:tc>
        <w:tc>
          <w:tcPr>
            <w:tcW w:type="dxa" w:w="2558"/>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1A1A1A"/>
                <w:sz w:val="17"/>
                <w:szCs w:val="17"/>
              </w:rPr>
              <w:t xml:space="preserve">2.54 mm male pin header</w:t>
            </w:r>
          </w:p>
        </w:tc>
        <w:tc>
          <w:tcPr>
            <w:tcW w:type="dxa" w:w="877"/>
            <w:tcMar>
              <w:top w:type="dxa" w:w="70"/>
              <w:left w:type="dxa" w:w="100"/>
              <w:bottom w:type="dxa" w:w="70"/>
              <w:right w:type="dxa" w:w="100"/>
            </w:tcMar>
            <w:vAlign w:val="center"/>
          </w:tcPr>
          <w:p>
            <w:pPr>
              <w:spacing w:after="0" w:line="252"/>
              <w:jc w:val="center"/>
            </w:pPr>
            <w:r>
              <w:rPr>
                <w:rFonts w:ascii="Avenir Next LT Pro" w:cs="Avenir Next LT Pro" w:eastAsia="Avenir Next LT Pro" w:hAnsi="Avenir Next LT Pro"/>
                <w:b w:val="false"/>
                <w:bCs w:val="false"/>
                <w:color w:val="1A1A1A"/>
                <w:sz w:val="18"/>
                <w:szCs w:val="18"/>
              </w:rPr>
              <w:t xml:space="preserve">A/R</w:t>
            </w:r>
          </w:p>
        </w:tc>
        <w:tc>
          <w:tcPr>
            <w:tcW w:type="dxa" w:w="1194"/>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1A1A1A"/>
                <w:sz w:val="17"/>
                <w:szCs w:val="17"/>
              </w:rPr>
              <w:t xml:space="preserve"/>
            </w:r>
          </w:p>
        </w:tc>
        <w:tc>
          <w:tcPr>
            <w:tcW w:type="dxa" w:w="962"/>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1A1A1A"/>
                <w:sz w:val="18"/>
                <w:szCs w:val="18"/>
              </w:rPr>
              <w:t xml:space="preserve"/>
            </w:r>
          </w:p>
        </w:tc>
        <w:tc>
          <w:tcPr>
            <w:tcW w:type="dxa" w:w="963"/>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1A1A1A"/>
                <w:sz w:val="18"/>
                <w:szCs w:val="18"/>
              </w:rPr>
              <w:t xml:space="preserve"/>
            </w:r>
          </w:p>
        </w:tc>
      </w:tr>
      <w:tr>
        <w:trPr>
          <w:cantSplit/>
          <w:tblHeader w:val="false"/>
        </w:trPr>
        <w:tc>
          <w:tcPr>
            <w:tcW w:type="dxa" w:w="512"/>
            <w:tcMar>
              <w:top w:type="dxa" w:w="70"/>
              <w:left w:type="dxa" w:w="100"/>
              <w:bottom w:type="dxa" w:w="70"/>
              <w:right w:type="dxa" w:w="100"/>
            </w:tcMar>
            <w:vAlign w:val="center"/>
          </w:tcPr>
          <w:p>
            <w:pPr>
              <w:spacing w:after="0" w:line="252"/>
              <w:jc w:val="center"/>
            </w:pPr>
            <w:r>
              <w:rPr>
                <w:rFonts w:ascii="Avenir Next LT Pro" w:cs="Avenir Next LT Pro" w:eastAsia="Avenir Next LT Pro" w:hAnsi="Avenir Next LT Pro"/>
                <w:b w:val="false"/>
                <w:bCs w:val="false"/>
                <w:color w:val="1A1A1A"/>
                <w:sz w:val="18"/>
                <w:szCs w:val="18"/>
              </w:rPr>
              <w:t xml:space="preserve">16</w:t>
            </w:r>
          </w:p>
        </w:tc>
        <w:tc>
          <w:tcPr>
            <w:tcW w:type="dxa" w:w="2680"/>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1A1A1A"/>
                <w:sz w:val="18"/>
                <w:szCs w:val="18"/>
              </w:rPr>
              <w:t xml:space="preserve">Terminal block, 4-way</w:t>
            </w:r>
          </w:p>
        </w:tc>
        <w:tc>
          <w:tcPr>
            <w:tcW w:type="dxa" w:w="2558"/>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1A1A1A"/>
                <w:sz w:val="17"/>
                <w:szCs w:val="17"/>
              </w:rPr>
              <w:t xml:space="preserve">5.00 mm pitch, 4 positions</w:t>
            </w:r>
          </w:p>
        </w:tc>
        <w:tc>
          <w:tcPr>
            <w:tcW w:type="dxa" w:w="877"/>
            <w:tcMar>
              <w:top w:type="dxa" w:w="70"/>
              <w:left w:type="dxa" w:w="100"/>
              <w:bottom w:type="dxa" w:w="70"/>
              <w:right w:type="dxa" w:w="100"/>
            </w:tcMar>
            <w:vAlign w:val="center"/>
          </w:tcPr>
          <w:p>
            <w:pPr>
              <w:spacing w:after="0" w:line="252"/>
              <w:jc w:val="center"/>
            </w:pPr>
            <w:r>
              <w:rPr>
                <w:rFonts w:ascii="Avenir Next LT Pro" w:cs="Avenir Next LT Pro" w:eastAsia="Avenir Next LT Pro" w:hAnsi="Avenir Next LT Pro"/>
                <w:b w:val="false"/>
                <w:bCs w:val="false"/>
                <w:color w:val="1A1A1A"/>
                <w:sz w:val="18"/>
                <w:szCs w:val="18"/>
              </w:rPr>
              <w:t xml:space="preserve">1</w:t>
            </w:r>
          </w:p>
        </w:tc>
        <w:tc>
          <w:tcPr>
            <w:tcW w:type="dxa" w:w="1194"/>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1A1A1A"/>
                <w:sz w:val="17"/>
                <w:szCs w:val="17"/>
              </w:rPr>
              <w:t xml:space="preserve"/>
            </w:r>
          </w:p>
        </w:tc>
        <w:tc>
          <w:tcPr>
            <w:tcW w:type="dxa" w:w="962"/>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1A1A1A"/>
                <w:sz w:val="18"/>
                <w:szCs w:val="18"/>
              </w:rPr>
              <w:t xml:space="preserve"/>
            </w:r>
          </w:p>
        </w:tc>
        <w:tc>
          <w:tcPr>
            <w:tcW w:type="dxa" w:w="963"/>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1A1A1A"/>
                <w:sz w:val="18"/>
                <w:szCs w:val="18"/>
              </w:rPr>
              <w:t xml:space="preserve"/>
            </w:r>
          </w:p>
        </w:tc>
      </w:tr>
      <w:tr>
        <w:trPr>
          <w:cantSplit/>
          <w:tblHeader w:val="false"/>
        </w:trPr>
        <w:tc>
          <w:tcPr>
            <w:tcW w:type="dxa" w:w="512"/>
            <w:tcMar>
              <w:top w:type="dxa" w:w="70"/>
              <w:left w:type="dxa" w:w="100"/>
              <w:bottom w:type="dxa" w:w="70"/>
              <w:right w:type="dxa" w:w="100"/>
            </w:tcMar>
            <w:vAlign w:val="center"/>
          </w:tcPr>
          <w:p>
            <w:pPr>
              <w:spacing w:after="0" w:line="252"/>
              <w:jc w:val="center"/>
            </w:pPr>
            <w:r>
              <w:rPr>
                <w:rFonts w:ascii="Avenir Next LT Pro" w:cs="Avenir Next LT Pro" w:eastAsia="Avenir Next LT Pro" w:hAnsi="Avenir Next LT Pro"/>
                <w:b w:val="false"/>
                <w:bCs w:val="false"/>
                <w:color w:val="1A1A1A"/>
                <w:sz w:val="18"/>
                <w:szCs w:val="18"/>
              </w:rPr>
              <w:t xml:space="preserve">17</w:t>
            </w:r>
          </w:p>
        </w:tc>
        <w:tc>
          <w:tcPr>
            <w:tcW w:type="dxa" w:w="2680"/>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1A1A1A"/>
                <w:sz w:val="18"/>
                <w:szCs w:val="18"/>
              </w:rPr>
              <w:t xml:space="preserve">Terminal block, 2-way</w:t>
            </w:r>
          </w:p>
        </w:tc>
        <w:tc>
          <w:tcPr>
            <w:tcW w:type="dxa" w:w="2558"/>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1A1A1A"/>
                <w:sz w:val="17"/>
                <w:szCs w:val="17"/>
              </w:rPr>
              <w:t xml:space="preserve">5.00 mm pitch, 2 positions</w:t>
            </w:r>
          </w:p>
        </w:tc>
        <w:tc>
          <w:tcPr>
            <w:tcW w:type="dxa" w:w="877"/>
            <w:tcMar>
              <w:top w:type="dxa" w:w="70"/>
              <w:left w:type="dxa" w:w="100"/>
              <w:bottom w:type="dxa" w:w="70"/>
              <w:right w:type="dxa" w:w="100"/>
            </w:tcMar>
            <w:vAlign w:val="center"/>
          </w:tcPr>
          <w:p>
            <w:pPr>
              <w:spacing w:after="0" w:line="252"/>
              <w:jc w:val="center"/>
            </w:pPr>
            <w:r>
              <w:rPr>
                <w:rFonts w:ascii="Avenir Next LT Pro" w:cs="Avenir Next LT Pro" w:eastAsia="Avenir Next LT Pro" w:hAnsi="Avenir Next LT Pro"/>
                <w:b w:val="false"/>
                <w:bCs w:val="false"/>
                <w:color w:val="1A1A1A"/>
                <w:sz w:val="18"/>
                <w:szCs w:val="18"/>
              </w:rPr>
              <w:t xml:space="preserve">1</w:t>
            </w:r>
          </w:p>
        </w:tc>
        <w:tc>
          <w:tcPr>
            <w:tcW w:type="dxa" w:w="1194"/>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1A1A1A"/>
                <w:sz w:val="17"/>
                <w:szCs w:val="17"/>
              </w:rPr>
              <w:t xml:space="preserve"/>
            </w:r>
          </w:p>
        </w:tc>
        <w:tc>
          <w:tcPr>
            <w:tcW w:type="dxa" w:w="962"/>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1A1A1A"/>
                <w:sz w:val="18"/>
                <w:szCs w:val="18"/>
              </w:rPr>
              <w:t xml:space="preserve"/>
            </w:r>
          </w:p>
        </w:tc>
        <w:tc>
          <w:tcPr>
            <w:tcW w:type="dxa" w:w="963"/>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1A1A1A"/>
                <w:sz w:val="18"/>
                <w:szCs w:val="18"/>
              </w:rPr>
              <w:t xml:space="preserve"/>
            </w:r>
          </w:p>
        </w:tc>
      </w:tr>
      <w:tr>
        <w:trPr>
          <w:cantSplit/>
          <w:tblHeader w:val="false"/>
        </w:trPr>
        <w:tc>
          <w:tcPr>
            <w:tcW w:type="dxa" w:w="512"/>
            <w:tcMar>
              <w:top w:type="dxa" w:w="70"/>
              <w:left w:type="dxa" w:w="100"/>
              <w:bottom w:type="dxa" w:w="70"/>
              <w:right w:type="dxa" w:w="100"/>
            </w:tcMar>
            <w:vAlign w:val="center"/>
          </w:tcPr>
          <w:p>
            <w:pPr>
              <w:spacing w:after="0" w:line="252"/>
              <w:jc w:val="center"/>
            </w:pPr>
            <w:r>
              <w:rPr>
                <w:rFonts w:ascii="Avenir Next LT Pro" w:cs="Avenir Next LT Pro" w:eastAsia="Avenir Next LT Pro" w:hAnsi="Avenir Next LT Pro"/>
                <w:b w:val="false"/>
                <w:bCs w:val="false"/>
                <w:color w:val="1A1A1A"/>
                <w:sz w:val="18"/>
                <w:szCs w:val="18"/>
              </w:rPr>
              <w:t xml:space="preserve">18</w:t>
            </w:r>
          </w:p>
        </w:tc>
        <w:tc>
          <w:tcPr>
            <w:tcW w:type="dxa" w:w="2680"/>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1A1A1A"/>
                <w:sz w:val="18"/>
                <w:szCs w:val="18"/>
              </w:rPr>
              <w:t xml:space="preserve">Threaded insert</w:t>
            </w:r>
          </w:p>
        </w:tc>
        <w:tc>
          <w:tcPr>
            <w:tcW w:type="dxa" w:w="2558"/>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1A1A1A"/>
                <w:sz w:val="17"/>
                <w:szCs w:val="17"/>
              </w:rPr>
              <w:t xml:space="preserve">Brass heat-set, M2 × 3 × 4 mm</w:t>
            </w:r>
          </w:p>
        </w:tc>
        <w:tc>
          <w:tcPr>
            <w:tcW w:type="dxa" w:w="877"/>
            <w:tcMar>
              <w:top w:type="dxa" w:w="70"/>
              <w:left w:type="dxa" w:w="100"/>
              <w:bottom w:type="dxa" w:w="70"/>
              <w:right w:type="dxa" w:w="100"/>
            </w:tcMar>
            <w:vAlign w:val="center"/>
          </w:tcPr>
          <w:p>
            <w:pPr>
              <w:spacing w:after="0" w:line="252"/>
              <w:jc w:val="center"/>
            </w:pPr>
            <w:r>
              <w:rPr>
                <w:rFonts w:ascii="Avenir Next LT Pro" w:cs="Avenir Next LT Pro" w:eastAsia="Avenir Next LT Pro" w:hAnsi="Avenir Next LT Pro"/>
                <w:b w:val="false"/>
                <w:bCs w:val="false"/>
                <w:color w:val="1A1A1A"/>
                <w:sz w:val="18"/>
                <w:szCs w:val="18"/>
              </w:rPr>
              <w:t xml:space="preserve">TBC</w:t>
            </w:r>
          </w:p>
        </w:tc>
        <w:tc>
          <w:tcPr>
            <w:tcW w:type="dxa" w:w="1194"/>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1A1A1A"/>
                <w:sz w:val="17"/>
                <w:szCs w:val="17"/>
              </w:rPr>
              <w:t xml:space="preserve"/>
            </w:r>
          </w:p>
        </w:tc>
        <w:tc>
          <w:tcPr>
            <w:tcW w:type="dxa" w:w="962"/>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1A1A1A"/>
                <w:sz w:val="18"/>
                <w:szCs w:val="18"/>
              </w:rPr>
              <w:t xml:space="preserve"/>
            </w:r>
          </w:p>
        </w:tc>
        <w:tc>
          <w:tcPr>
            <w:tcW w:type="dxa" w:w="963"/>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1A1A1A"/>
                <w:sz w:val="18"/>
                <w:szCs w:val="18"/>
              </w:rPr>
              <w:t xml:space="preserve"/>
            </w:r>
          </w:p>
        </w:tc>
      </w:tr>
      <w:tr>
        <w:trPr>
          <w:cantSplit/>
          <w:tblHeader w:val="false"/>
        </w:trPr>
        <w:tc>
          <w:tcPr>
            <w:tcW w:type="dxa" w:w="512"/>
            <w:tcMar>
              <w:top w:type="dxa" w:w="70"/>
              <w:left w:type="dxa" w:w="100"/>
              <w:bottom w:type="dxa" w:w="70"/>
              <w:right w:type="dxa" w:w="100"/>
            </w:tcMar>
            <w:vAlign w:val="center"/>
          </w:tcPr>
          <w:p>
            <w:pPr>
              <w:spacing w:after="0" w:line="252"/>
              <w:jc w:val="center"/>
            </w:pPr>
            <w:r>
              <w:rPr>
                <w:rFonts w:ascii="Avenir Next LT Pro" w:cs="Avenir Next LT Pro" w:eastAsia="Avenir Next LT Pro" w:hAnsi="Avenir Next LT Pro"/>
                <w:b w:val="false"/>
                <w:bCs w:val="false"/>
                <w:color w:val="1A1A1A"/>
                <w:sz w:val="18"/>
                <w:szCs w:val="18"/>
              </w:rPr>
              <w:t xml:space="preserve">19</w:t>
            </w:r>
          </w:p>
        </w:tc>
        <w:tc>
          <w:tcPr>
            <w:tcW w:type="dxa" w:w="2680"/>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1A1A1A"/>
                <w:sz w:val="18"/>
                <w:szCs w:val="18"/>
              </w:rPr>
              <w:t xml:space="preserve">Screw</w:t>
            </w:r>
          </w:p>
        </w:tc>
        <w:tc>
          <w:tcPr>
            <w:tcW w:type="dxa" w:w="2558"/>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1A1A1A"/>
                <w:sz w:val="17"/>
                <w:szCs w:val="17"/>
              </w:rPr>
              <w:t xml:space="preserve">M2 × 5 mm</w:t>
            </w:r>
          </w:p>
        </w:tc>
        <w:tc>
          <w:tcPr>
            <w:tcW w:type="dxa" w:w="877"/>
            <w:tcMar>
              <w:top w:type="dxa" w:w="70"/>
              <w:left w:type="dxa" w:w="100"/>
              <w:bottom w:type="dxa" w:w="70"/>
              <w:right w:type="dxa" w:w="100"/>
            </w:tcMar>
            <w:vAlign w:val="center"/>
          </w:tcPr>
          <w:p>
            <w:pPr>
              <w:spacing w:after="0" w:line="252"/>
              <w:jc w:val="center"/>
            </w:pPr>
            <w:r>
              <w:rPr>
                <w:rFonts w:ascii="Avenir Next LT Pro" w:cs="Avenir Next LT Pro" w:eastAsia="Avenir Next LT Pro" w:hAnsi="Avenir Next LT Pro"/>
                <w:b w:val="false"/>
                <w:bCs w:val="false"/>
                <w:color w:val="1A1A1A"/>
                <w:sz w:val="18"/>
                <w:szCs w:val="18"/>
              </w:rPr>
              <w:t xml:space="preserve">14</w:t>
            </w:r>
          </w:p>
        </w:tc>
        <w:tc>
          <w:tcPr>
            <w:tcW w:type="dxa" w:w="1194"/>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1A1A1A"/>
                <w:sz w:val="17"/>
                <w:szCs w:val="17"/>
              </w:rPr>
              <w:t xml:space="preserve"/>
            </w:r>
          </w:p>
        </w:tc>
        <w:tc>
          <w:tcPr>
            <w:tcW w:type="dxa" w:w="962"/>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1A1A1A"/>
                <w:sz w:val="18"/>
                <w:szCs w:val="18"/>
              </w:rPr>
              <w:t xml:space="preserve"/>
            </w:r>
          </w:p>
        </w:tc>
        <w:tc>
          <w:tcPr>
            <w:tcW w:type="dxa" w:w="963"/>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1A1A1A"/>
                <w:sz w:val="18"/>
                <w:szCs w:val="18"/>
              </w:rPr>
              <w:t xml:space="preserve"/>
            </w:r>
          </w:p>
        </w:tc>
      </w:tr>
      <w:tr>
        <w:trPr>
          <w:cantSplit/>
          <w:tblHeader w:val="false"/>
        </w:trPr>
        <w:tc>
          <w:tcPr>
            <w:tcW w:type="dxa" w:w="512"/>
            <w:tcMar>
              <w:top w:type="dxa" w:w="70"/>
              <w:left w:type="dxa" w:w="100"/>
              <w:bottom w:type="dxa" w:w="70"/>
              <w:right w:type="dxa" w:w="100"/>
            </w:tcMar>
            <w:vAlign w:val="center"/>
          </w:tcPr>
          <w:p>
            <w:pPr>
              <w:spacing w:after="0" w:line="252"/>
              <w:jc w:val="center"/>
            </w:pPr>
            <w:r>
              <w:rPr>
                <w:rFonts w:ascii="Avenir Next LT Pro" w:cs="Avenir Next LT Pro" w:eastAsia="Avenir Next LT Pro" w:hAnsi="Avenir Next LT Pro"/>
                <w:b w:val="false"/>
                <w:bCs w:val="false"/>
                <w:color w:val="1A1A1A"/>
                <w:sz w:val="18"/>
                <w:szCs w:val="18"/>
              </w:rPr>
              <w:t xml:space="preserve">20</w:t>
            </w:r>
          </w:p>
        </w:tc>
        <w:tc>
          <w:tcPr>
            <w:tcW w:type="dxa" w:w="2680"/>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1A1A1A"/>
                <w:sz w:val="18"/>
                <w:szCs w:val="18"/>
              </w:rPr>
              <w:t xml:space="preserve">Screw</w:t>
            </w:r>
          </w:p>
        </w:tc>
        <w:tc>
          <w:tcPr>
            <w:tcW w:type="dxa" w:w="2558"/>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1A1A1A"/>
                <w:sz w:val="17"/>
                <w:szCs w:val="17"/>
              </w:rPr>
              <w:t xml:space="preserve">M3 × 4 mm</w:t>
            </w:r>
          </w:p>
        </w:tc>
        <w:tc>
          <w:tcPr>
            <w:tcW w:type="dxa" w:w="877"/>
            <w:tcMar>
              <w:top w:type="dxa" w:w="70"/>
              <w:left w:type="dxa" w:w="100"/>
              <w:bottom w:type="dxa" w:w="70"/>
              <w:right w:type="dxa" w:w="100"/>
            </w:tcMar>
            <w:vAlign w:val="center"/>
          </w:tcPr>
          <w:p>
            <w:pPr>
              <w:spacing w:after="0" w:line="252"/>
              <w:jc w:val="center"/>
            </w:pPr>
            <w:r>
              <w:rPr>
                <w:rFonts w:ascii="Avenir Next LT Pro" w:cs="Avenir Next LT Pro" w:eastAsia="Avenir Next LT Pro" w:hAnsi="Avenir Next LT Pro"/>
                <w:b w:val="false"/>
                <w:bCs w:val="false"/>
                <w:color w:val="1A1A1A"/>
                <w:sz w:val="18"/>
                <w:szCs w:val="18"/>
              </w:rPr>
              <w:t xml:space="preserve">2</w:t>
            </w:r>
          </w:p>
        </w:tc>
        <w:tc>
          <w:tcPr>
            <w:tcW w:type="dxa" w:w="1194"/>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1A1A1A"/>
                <w:sz w:val="17"/>
                <w:szCs w:val="17"/>
              </w:rPr>
              <w:t xml:space="preserve"/>
            </w:r>
          </w:p>
        </w:tc>
        <w:tc>
          <w:tcPr>
            <w:tcW w:type="dxa" w:w="962"/>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1A1A1A"/>
                <w:sz w:val="18"/>
                <w:szCs w:val="18"/>
              </w:rPr>
              <w:t xml:space="preserve"/>
            </w:r>
          </w:p>
        </w:tc>
        <w:tc>
          <w:tcPr>
            <w:tcW w:type="dxa" w:w="963"/>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1A1A1A"/>
                <w:sz w:val="18"/>
                <w:szCs w:val="18"/>
              </w:rPr>
              <w:t xml:space="preserve"/>
            </w:r>
          </w:p>
        </w:tc>
      </w:tr>
      <w:tr>
        <w:trPr>
          <w:cantSplit/>
          <w:tblHeader w:val="false"/>
        </w:trPr>
        <w:tc>
          <w:tcPr>
            <w:tcW w:type="dxa" w:w="512"/>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1A1A1A"/>
                <w:sz w:val="18"/>
                <w:szCs w:val="18"/>
              </w:rPr>
              <w:t xml:space="preserve"/>
            </w:r>
          </w:p>
        </w:tc>
        <w:tc>
          <w:tcPr>
            <w:tcW w:type="dxa" w:w="7309"/>
            <w:gridSpan w:val="4"/>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bCs/>
                <w:color w:val="1A1A1A"/>
                <w:sz w:val="18"/>
                <w:szCs w:val="18"/>
              </w:rPr>
              <w:t xml:space="preserve">TOTAL MATERIAL COST</w:t>
            </w:r>
          </w:p>
        </w:tc>
        <w:tc>
          <w:tcPr>
            <w:tcW w:type="dxa" w:w="2558"/>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1A1A1A"/>
                <w:sz w:val="18"/>
                <w:szCs w:val="18"/>
              </w:rPr>
              <w:t xml:space="preserve"/>
            </w:r>
          </w:p>
        </w:tc>
        <w:tc>
          <w:tcPr>
            <w:tcW w:type="dxa" w:w="877"/>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1A1A1A"/>
                <w:sz w:val="18"/>
                <w:szCs w:val="18"/>
              </w:rPr>
              <w:t xml:space="preserve"/>
            </w:r>
          </w:p>
        </w:tc>
      </w:tr>
    </w:tbl>
    <w:tbl>
      <w:tblPr>
        <w:tblW w:type="dxa" w:w="9746"/>
        <w:tblBorders>
          <w:top w:val="single" w:color="A63A17" w:sz="4"/>
          <w:left w:val="single" w:color="A63A17" w:sz="18"/>
          <w:bottom w:val="single" w:color="A63A17" w:sz="4"/>
          <w:right w:val="single" w:color="A63A17" w:sz="4"/>
          <w:insideH w:val="none"/>
          <w:insideV w:val="none"/>
        </w:tblBorders>
      </w:tblPr>
      <w:tblGrid>
        <w:gridCol w:w="9746"/>
      </w:tblGrid>
      <w:tr>
        <w:trPr>
          <w:cantSplit/>
        </w:trPr>
        <w:tc>
          <w:tcPr>
            <w:tcW w:type="dxa" w:w="9746"/>
            <w:shd w:fill="FBEEE9" w:color="auto" w:val="clear"/>
            <w:tcMar>
              <w:top w:type="dxa" w:w="120"/>
              <w:left w:type="dxa" w:w="160"/>
              <w:bottom w:type="dxa" w:w="120"/>
              <w:right w:type="dxa" w:w="160"/>
            </w:tcMar>
          </w:tcPr>
          <w:p>
            <w:pPr>
              <w:spacing w:after="60"/>
            </w:pPr>
            <w:r>
              <w:rPr>
                <w:rFonts w:ascii="Avenir Next LT Pro" w:cs="Avenir Next LT Pro" w:eastAsia="Avenir Next LT Pro" w:hAnsi="Avenir Next LT Pro"/>
                <w:b/>
                <w:bCs/>
                <w:color w:val="A63A17"/>
                <w:sz w:val="19"/>
                <w:szCs w:val="19"/>
              </w:rPr>
              <w:t xml:space="preserve">COSTING — NOT POPULATED, AND WHY</w:t>
            </w:r>
          </w:p>
          <w:p>
            <w:pPr>
              <w:spacing w:after="60" w:line="264"/>
            </w:pPr>
            <w:r>
              <w:rPr>
                <w:rFonts w:ascii="Avenir Next LT Pro" w:cs="Avenir Next LT Pro" w:eastAsia="Avenir Next LT Pro" w:hAnsi="Avenir Next LT Pro"/>
                <w:color w:val="1A1A1A"/>
                <w:sz w:val="19"/>
                <w:szCs w:val="19"/>
              </w:rPr>
              <w:t xml:space="preserve">Unit costs were researched and deliberately left blank rather than estimated. Most of this bill is sourced through Malaysian marketplace channels (Shopee, Lazada) where pricing is seller-specific, changes continuously, and is not reliably retrievable. Distributor pricing for the branded parts is quantity-tiered and region-dependent.</w:t>
            </w:r>
          </w:p>
          <w:p>
            <w:pPr>
              <w:spacing w:after="60" w:line="264"/>
            </w:pPr>
            <w:r>
              <w:rPr>
                <w:rFonts w:ascii="Avenir Next LT Pro" w:cs="Avenir Next LT Pro" w:eastAsia="Avenir Next LT Pro" w:hAnsi="Avenir Next LT Pro"/>
                <w:color w:val="1A1A1A"/>
                <w:sz w:val="19"/>
                <w:szCs w:val="19"/>
              </w:rPr>
              <w:t xml:space="preserve">The only figure obtained with a traceable source was the Murata OKI-78SR-5/1.5-W36-C at approximately USD 4.97 single-unit at DigiKey, and even that conflicted with a second listing at USD 5.66.</w:t>
            </w:r>
          </w:p>
          <w:p>
            <w:pPr>
              <w:spacing w:after="60" w:line="264"/>
            </w:pPr>
            <w:r>
              <w:rPr>
                <w:rFonts w:ascii="Avenir Next LT Pro" w:cs="Avenir Next LT Pro" w:eastAsia="Avenir Next LT Pro" w:hAnsi="Avenir Next LT Pro"/>
                <w:color w:val="1A1A1A"/>
                <w:sz w:val="19"/>
                <w:szCs w:val="19"/>
              </w:rPr>
              <w:t xml:space="preserve">Populating this table with invented numbers would be worse than leaving it empty: quotations, margin and pricing decisions would be built on fiction. Enter your actual purchase-order prices, record the currency and the date, and treat the table as the controlled cost record from that point.</w:t>
            </w:r>
          </w:p>
        </w:tc>
      </w:tr>
    </w:tbl>
    <w:p>
      <w:pPr>
        <w:pStyle w:val="Heading2"/>
        <w:keepNext/>
        <w:keepLines/>
        <w:spacing w:after="120" w:before="280"/>
      </w:pPr>
      <w:r>
        <w:rPr>
          <w:rFonts w:ascii="Avenir Next LT Pro" w:cs="Avenir Next LT Pro" w:eastAsia="Avenir Next LT Pro" w:hAnsi="Avenir Next LT Pro"/>
          <w:b/>
          <w:bCs/>
          <w:color w:val="1A1A1A"/>
          <w:sz w:val="23"/>
          <w:szCs w:val="23"/>
        </w:rPr>
        <w:t xml:space="preserve">3.1  Sourcing note — ESP32 module and UART bridge</w:t>
      </w:r>
    </w:p>
    <w:p>
      <w:pPr>
        <w:spacing w:after="120" w:before="0" w:line="276"/>
      </w:pPr>
      <w:r>
        <w:rPr>
          <w:rFonts w:ascii="Avenir Next LT Pro" w:cs="Avenir Next LT Pro" w:eastAsia="Avenir Next LT Pro" w:hAnsi="Avenir Next LT Pro"/>
          <w:color w:val="1A1A1A"/>
          <w:sz w:val="20"/>
          <w:szCs w:val="20"/>
        </w:rPr>
        <w:t xml:space="preserve">The source build list specifies "ESP32U with C2012 UART chipset". "C2012" does not correspond to a known USB-UART part; the intended device is most likely the CP2102 (Silicon Labs) or possibly the CH340-series. This has been recorded as items 3 and 4 pending confirmation.</w:t>
      </w:r>
    </w:p>
    <w:tbl>
      <w:tblPr>
        <w:tblW w:type="dxa" w:w="9746"/>
        <w:tblBorders>
          <w:top w:val="single" w:color="A63A17" w:sz="4"/>
          <w:left w:val="single" w:color="A63A17" w:sz="18"/>
          <w:bottom w:val="single" w:color="A63A17" w:sz="4"/>
          <w:right w:val="single" w:color="A63A17" w:sz="4"/>
          <w:insideH w:val="none"/>
          <w:insideV w:val="none"/>
        </w:tblBorders>
      </w:tblPr>
      <w:tblGrid>
        <w:gridCol w:w="9746"/>
      </w:tblGrid>
      <w:tr>
        <w:trPr>
          <w:cantSplit/>
        </w:trPr>
        <w:tc>
          <w:tcPr>
            <w:tcW w:type="dxa" w:w="9746"/>
            <w:shd w:fill="FBEEE9" w:color="auto" w:val="clear"/>
            <w:tcMar>
              <w:top w:type="dxa" w:w="120"/>
              <w:left w:type="dxa" w:w="160"/>
              <w:bottom w:type="dxa" w:w="120"/>
              <w:right w:type="dxa" w:w="160"/>
            </w:tcMar>
          </w:tcPr>
          <w:p>
            <w:pPr>
              <w:spacing w:after="60"/>
            </w:pPr>
            <w:r>
              <w:rPr>
                <w:rFonts w:ascii="Avenir Next LT Pro" w:cs="Avenir Next LT Pro" w:eastAsia="Avenir Next LT Pro" w:hAnsi="Avenir Next LT Pro"/>
                <w:b/>
                <w:bCs/>
                <w:color w:val="A63A17"/>
                <w:sz w:val="19"/>
                <w:szCs w:val="19"/>
              </w:rPr>
              <w:t xml:space="preserve">OPEN ITEM — UART BRIDGE PART NUMBER</w:t>
            </w:r>
          </w:p>
          <w:p>
            <w:pPr>
              <w:spacing w:after="60" w:line="264"/>
            </w:pPr>
            <w:r>
              <w:rPr>
                <w:rFonts w:ascii="Avenir Next LT Pro" w:cs="Avenir Next LT Pro" w:eastAsia="Avenir Next LT Pro" w:hAnsi="Avenir Next LT Pro"/>
                <w:color w:val="1A1A1A"/>
                <w:sz w:val="19"/>
                <w:szCs w:val="19"/>
              </w:rPr>
              <w:t xml:space="preserve">Confirm the exact USB-UART bridge part number and mark up items 3 and 4. This matters beyond bookkeeping: the driver the production PC needs, and the auto-reset behaviour during flashing, both depend on which bridge is fitted.</w:t>
            </w:r>
          </w:p>
        </w:tc>
      </w:tr>
    </w:tbl>
    <w:p>
      <w:pPr>
        <w:pStyle w:val="Heading1"/>
        <w:keepNext/>
        <w:keepLines/>
        <w:pBdr>
          <w:bottom w:val="single" w:color="BFBBB4" w:sz="8" w:space="6"/>
        </w:pBdr>
        <w:spacing w:after="160" w:before="360"/>
      </w:pPr>
      <w:r>
        <w:rPr>
          <w:rFonts w:ascii="Avenir Next LT Pro" w:cs="Avenir Next LT Pro" w:eastAsia="Avenir Next LT Pro" w:hAnsi="Avenir Next LT Pro"/>
          <w:b/>
          <w:bCs/>
          <w:color w:val="1A1A1A"/>
          <w:sz w:val="28"/>
          <w:szCs w:val="28"/>
        </w:rPr>
        <w:t xml:space="preserve">4.  Electrical Interfaces</w:t>
      </w:r>
    </w:p>
    <w:p>
      <w:pPr>
        <w:pStyle w:val="Heading2"/>
        <w:keepNext/>
        <w:keepLines/>
        <w:spacing w:after="120" w:before="280"/>
      </w:pPr>
      <w:r>
        <w:rPr>
          <w:rFonts w:ascii="Avenir Next LT Pro" w:cs="Avenir Next LT Pro" w:eastAsia="Avenir Next LT Pro" w:hAnsi="Avenir Next LT Pro"/>
          <w:b/>
          <w:bCs/>
          <w:color w:val="1A1A1A"/>
          <w:sz w:val="23"/>
          <w:szCs w:val="23"/>
        </w:rPr>
        <w:t xml:space="preserve">4.1  Mains entry</w:t>
      </w:r>
    </w:p>
    <w:tbl>
      <w:tblPr>
        <w:tblW w:type="dxa" w:w="9746"/>
        <w:tblBorders>
          <w:top w:val="single" w:color="BFBBB4" w:sz="4"/>
          <w:left w:val="single" w:color="BFBBB4" w:sz="4"/>
          <w:bottom w:val="single" w:color="BFBBB4" w:sz="4"/>
          <w:right w:val="single" w:color="BFBBB4" w:sz="4"/>
          <w:insideH w:val="single" w:color="BFBBB4" w:sz="2"/>
          <w:insideV w:val="single" w:color="BFBBB4" w:sz="2"/>
        </w:tblBorders>
      </w:tblPr>
      <w:tblGrid>
        <w:gridCol w:w="2437"/>
        <w:gridCol w:w="2437"/>
        <w:gridCol w:w="4872"/>
      </w:tblGrid>
      <w:tr>
        <w:trPr>
          <w:cantSplit/>
          <w:tblHeader/>
        </w:trPr>
        <w:tc>
          <w:tcPr>
            <w:tcW w:type="dxa" w:w="2437"/>
            <w:shd w:fill="E8E6E1" w:color="auto" w:val="clear"/>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bCs/>
                <w:color w:val="1A1A1A"/>
                <w:sz w:val="18"/>
                <w:szCs w:val="18"/>
              </w:rPr>
              <w:t xml:space="preserve">Conductor</w:t>
            </w:r>
          </w:p>
        </w:tc>
        <w:tc>
          <w:tcPr>
            <w:tcW w:type="dxa" w:w="2437"/>
            <w:shd w:fill="E8E6E1" w:color="auto" w:val="clear"/>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bCs/>
                <w:color w:val="1A1A1A"/>
                <w:sz w:val="18"/>
                <w:szCs w:val="18"/>
              </w:rPr>
              <w:t xml:space="preserve">Terminal</w:t>
            </w:r>
          </w:p>
        </w:tc>
        <w:tc>
          <w:tcPr>
            <w:tcW w:type="dxa" w:w="4872"/>
            <w:shd w:fill="E8E6E1" w:color="auto" w:val="clear"/>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bCs/>
                <w:color w:val="1A1A1A"/>
                <w:sz w:val="18"/>
                <w:szCs w:val="18"/>
              </w:rPr>
              <w:t xml:space="preserve">Note</w:t>
            </w:r>
          </w:p>
        </w:tc>
      </w:tr>
      <w:tr>
        <w:trPr>
          <w:cantSplit/>
          <w:tblHeader w:val="false"/>
        </w:trPr>
        <w:tc>
          <w:tcPr>
            <w:tcW w:type="dxa" w:w="2437"/>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1A1A1A"/>
                <w:sz w:val="18"/>
                <w:szCs w:val="18"/>
              </w:rPr>
              <w:t xml:space="preserve">Live (L)</w:t>
            </w:r>
          </w:p>
        </w:tc>
        <w:tc>
          <w:tcPr>
            <w:tcW w:type="dxa" w:w="2437"/>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1A1A1A"/>
                <w:sz w:val="18"/>
                <w:szCs w:val="18"/>
              </w:rPr>
              <w:t xml:space="preserve">RS-15-12 "L"</w:t>
            </w:r>
          </w:p>
        </w:tc>
        <w:tc>
          <w:tcPr>
            <w:tcW w:type="dxa" w:w="4872"/>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1A1A1A"/>
                <w:sz w:val="18"/>
                <w:szCs w:val="18"/>
              </w:rPr>
              <w:t xml:space="preserve">Via PG11 gland; strain relief mandatory</w:t>
            </w:r>
          </w:p>
        </w:tc>
      </w:tr>
      <w:tr>
        <w:trPr>
          <w:cantSplit/>
          <w:tblHeader w:val="false"/>
        </w:trPr>
        <w:tc>
          <w:tcPr>
            <w:tcW w:type="dxa" w:w="2437"/>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1A1A1A"/>
                <w:sz w:val="18"/>
                <w:szCs w:val="18"/>
              </w:rPr>
              <w:t xml:space="preserve">Neutral (N)</w:t>
            </w:r>
          </w:p>
        </w:tc>
        <w:tc>
          <w:tcPr>
            <w:tcW w:type="dxa" w:w="2437"/>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1A1A1A"/>
                <w:sz w:val="18"/>
                <w:szCs w:val="18"/>
              </w:rPr>
              <w:t xml:space="preserve">RS-15-12 "N"</w:t>
            </w:r>
          </w:p>
        </w:tc>
        <w:tc>
          <w:tcPr>
            <w:tcW w:type="dxa" w:w="4872"/>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1A1A1A"/>
                <w:sz w:val="18"/>
                <w:szCs w:val="18"/>
              </w:rPr>
              <w:t xml:space="preserve"/>
            </w:r>
          </w:p>
        </w:tc>
      </w:tr>
      <w:tr>
        <w:trPr>
          <w:cantSplit/>
          <w:tblHeader w:val="false"/>
        </w:trPr>
        <w:tc>
          <w:tcPr>
            <w:tcW w:type="dxa" w:w="2437"/>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1A1A1A"/>
                <w:sz w:val="18"/>
                <w:szCs w:val="18"/>
              </w:rPr>
              <w:t xml:space="preserve">Earth (⏚)</w:t>
            </w:r>
          </w:p>
        </w:tc>
        <w:tc>
          <w:tcPr>
            <w:tcW w:type="dxa" w:w="2437"/>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1A1A1A"/>
                <w:sz w:val="18"/>
                <w:szCs w:val="18"/>
              </w:rPr>
              <w:t xml:space="preserve">RS-15-12 "⏚"</w:t>
            </w:r>
          </w:p>
        </w:tc>
        <w:tc>
          <w:tcPr>
            <w:tcW w:type="dxa" w:w="4872"/>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1A1A1A"/>
                <w:sz w:val="18"/>
                <w:szCs w:val="18"/>
              </w:rPr>
              <w:t xml:space="preserve">Must be terminated — do not omit</w:t>
            </w:r>
          </w:p>
        </w:tc>
      </w:tr>
    </w:tbl>
    <w:p>
      <w:pPr>
        <w:pStyle w:val="Heading2"/>
        <w:keepNext/>
        <w:keepLines/>
        <w:spacing w:after="120" w:before="280"/>
      </w:pPr>
      <w:r>
        <w:rPr>
          <w:rFonts w:ascii="Avenir Next LT Pro" w:cs="Avenir Next LT Pro" w:eastAsia="Avenir Next LT Pro" w:hAnsi="Avenir Next LT Pro"/>
          <w:b/>
          <w:bCs/>
          <w:color w:val="1A1A1A"/>
          <w:sz w:val="23"/>
          <w:szCs w:val="23"/>
        </w:rPr>
        <w:t xml:space="preserve">4.2  M12 sensor interface — 4-pin</w:t>
      </w:r>
    </w:p>
    <w:tbl>
      <w:tblPr>
        <w:tblW w:type="dxa" w:w="9746"/>
        <w:tblBorders>
          <w:top w:val="single" w:color="A63A17" w:sz="4"/>
          <w:left w:val="single" w:color="A63A17" w:sz="18"/>
          <w:bottom w:val="single" w:color="A63A17" w:sz="4"/>
          <w:right w:val="single" w:color="A63A17" w:sz="4"/>
          <w:insideH w:val="none"/>
          <w:insideV w:val="none"/>
        </w:tblBorders>
      </w:tblPr>
      <w:tblGrid>
        <w:gridCol w:w="9746"/>
      </w:tblGrid>
      <w:tr>
        <w:trPr>
          <w:cantSplit/>
        </w:trPr>
        <w:tc>
          <w:tcPr>
            <w:tcW w:type="dxa" w:w="9746"/>
            <w:shd w:fill="FBEEE9" w:color="auto" w:val="clear"/>
            <w:tcMar>
              <w:top w:type="dxa" w:w="120"/>
              <w:left w:type="dxa" w:w="160"/>
              <w:bottom w:type="dxa" w:w="120"/>
              <w:right w:type="dxa" w:w="160"/>
            </w:tcMar>
          </w:tcPr>
          <w:p>
            <w:pPr>
              <w:spacing w:after="60"/>
            </w:pPr>
            <w:r>
              <w:rPr>
                <w:rFonts w:ascii="Avenir Next LT Pro" w:cs="Avenir Next LT Pro" w:eastAsia="Avenir Next LT Pro" w:hAnsi="Avenir Next LT Pro"/>
                <w:b/>
                <w:bCs/>
                <w:color w:val="A63A17"/>
                <w:sz w:val="19"/>
                <w:szCs w:val="19"/>
              </w:rPr>
              <w:t xml:space="preserve">OPEN ITEM — M12 PIN ASSIGNMENT</w:t>
            </w:r>
          </w:p>
          <w:p>
            <w:pPr>
              <w:spacing w:after="60" w:line="264"/>
            </w:pPr>
            <w:r>
              <w:rPr>
                <w:rFonts w:ascii="Avenir Next LT Pro" w:cs="Avenir Next LT Pro" w:eastAsia="Avenir Next LT Pro" w:hAnsi="Avenir Next LT Pro"/>
                <w:color w:val="1A1A1A"/>
                <w:sz w:val="19"/>
                <w:szCs w:val="19"/>
              </w:rPr>
              <w:t xml:space="preserve">The M12 pin-to-signal mapping is not defined in the source material and is left blank below. It must be fixed and recorded before any cable is made off, because a mis-assigned pin will apply 12 V to an RS-485 receiver.</w:t>
            </w:r>
          </w:p>
          <w:p>
            <w:pPr>
              <w:spacing w:after="60" w:line="264"/>
            </w:pPr>
            <w:r>
              <w:rPr>
                <w:rFonts w:ascii="Avenir Next LT Pro" w:cs="Avenir Next LT Pro" w:eastAsia="Avenir Next LT Pro" w:hAnsi="Avenir Next LT Pro"/>
                <w:color w:val="1A1A1A"/>
                <w:sz w:val="19"/>
                <w:szCs w:val="19"/>
              </w:rPr>
              <w:t xml:space="preserve">Populate this table, then treat it as the controlling reference for every cable assembly.</w:t>
            </w:r>
          </w:p>
        </w:tc>
      </w:tr>
    </w:tbl>
    <w:tbl>
      <w:tblPr>
        <w:tblW w:type="dxa" w:w="9746"/>
        <w:tblBorders>
          <w:top w:val="single" w:color="BFBBB4" w:sz="4"/>
          <w:left w:val="single" w:color="BFBBB4" w:sz="4"/>
          <w:bottom w:val="single" w:color="BFBBB4" w:sz="4"/>
          <w:right w:val="single" w:color="BFBBB4" w:sz="4"/>
          <w:insideH w:val="single" w:color="BFBBB4" w:sz="2"/>
          <w:insideV w:val="single" w:color="BFBBB4" w:sz="2"/>
        </w:tblBorders>
      </w:tblPr>
      <w:tblGrid>
        <w:gridCol w:w="1452"/>
        <w:gridCol w:w="2488"/>
        <w:gridCol w:w="2488"/>
        <w:gridCol w:w="3318"/>
      </w:tblGrid>
      <w:tr>
        <w:trPr>
          <w:cantSplit/>
          <w:tblHeader/>
        </w:trPr>
        <w:tc>
          <w:tcPr>
            <w:tcW w:type="dxa" w:w="1452"/>
            <w:shd w:fill="E8E6E1" w:color="auto" w:val="clear"/>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bCs/>
                <w:color w:val="1A1A1A"/>
                <w:sz w:val="18"/>
                <w:szCs w:val="18"/>
              </w:rPr>
              <w:t xml:space="preserve">Pin</w:t>
            </w:r>
          </w:p>
        </w:tc>
        <w:tc>
          <w:tcPr>
            <w:tcW w:type="dxa" w:w="2488"/>
            <w:shd w:fill="E8E6E1" w:color="auto" w:val="clear"/>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bCs/>
                <w:color w:val="1A1A1A"/>
                <w:sz w:val="18"/>
                <w:szCs w:val="18"/>
              </w:rPr>
              <w:t xml:space="preserve">Signal</w:t>
            </w:r>
          </w:p>
        </w:tc>
        <w:tc>
          <w:tcPr>
            <w:tcW w:type="dxa" w:w="2488"/>
            <w:shd w:fill="E8E6E1" w:color="auto" w:val="clear"/>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bCs/>
                <w:color w:val="1A1A1A"/>
                <w:sz w:val="18"/>
                <w:szCs w:val="18"/>
              </w:rPr>
              <w:t xml:space="preserve">Conductor colour</w:t>
            </w:r>
          </w:p>
        </w:tc>
        <w:tc>
          <w:tcPr>
            <w:tcW w:type="dxa" w:w="3318"/>
            <w:shd w:fill="E8E6E1" w:color="auto" w:val="clear"/>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bCs/>
                <w:color w:val="1A1A1A"/>
                <w:sz w:val="18"/>
                <w:szCs w:val="18"/>
              </w:rPr>
              <w:t xml:space="preserve">Destination</w:t>
            </w:r>
          </w:p>
        </w:tc>
      </w:tr>
      <w:tr>
        <w:trPr>
          <w:cantSplit/>
          <w:tblHeader w:val="false"/>
        </w:trPr>
        <w:tc>
          <w:tcPr>
            <w:tcW w:type="dxa" w:w="1452"/>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1A1A1A"/>
                <w:sz w:val="18"/>
                <w:szCs w:val="18"/>
              </w:rPr>
              <w:t xml:space="preserve">1</w:t>
            </w:r>
          </w:p>
        </w:tc>
        <w:tc>
          <w:tcPr>
            <w:tcW w:type="dxa" w:w="2488"/>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1A1A1A"/>
                <w:sz w:val="18"/>
                <w:szCs w:val="18"/>
              </w:rPr>
              <w:t xml:space="preserve"/>
            </w:r>
          </w:p>
        </w:tc>
        <w:tc>
          <w:tcPr>
            <w:tcW w:type="dxa" w:w="2488"/>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1A1A1A"/>
                <w:sz w:val="18"/>
                <w:szCs w:val="18"/>
              </w:rPr>
              <w:t xml:space="preserve"/>
            </w:r>
          </w:p>
        </w:tc>
        <w:tc>
          <w:tcPr>
            <w:tcW w:type="dxa" w:w="3318"/>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1A1A1A"/>
                <w:sz w:val="18"/>
                <w:szCs w:val="18"/>
              </w:rPr>
              <w:t xml:space="preserve"/>
            </w:r>
          </w:p>
        </w:tc>
      </w:tr>
      <w:tr>
        <w:trPr>
          <w:cantSplit/>
          <w:tblHeader w:val="false"/>
        </w:trPr>
        <w:tc>
          <w:tcPr>
            <w:tcW w:type="dxa" w:w="1452"/>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1A1A1A"/>
                <w:sz w:val="18"/>
                <w:szCs w:val="18"/>
              </w:rPr>
              <w:t xml:space="preserve">2</w:t>
            </w:r>
          </w:p>
        </w:tc>
        <w:tc>
          <w:tcPr>
            <w:tcW w:type="dxa" w:w="2488"/>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1A1A1A"/>
                <w:sz w:val="18"/>
                <w:szCs w:val="18"/>
              </w:rPr>
              <w:t xml:space="preserve"/>
            </w:r>
          </w:p>
        </w:tc>
        <w:tc>
          <w:tcPr>
            <w:tcW w:type="dxa" w:w="2488"/>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1A1A1A"/>
                <w:sz w:val="18"/>
                <w:szCs w:val="18"/>
              </w:rPr>
              <w:t xml:space="preserve"/>
            </w:r>
          </w:p>
        </w:tc>
        <w:tc>
          <w:tcPr>
            <w:tcW w:type="dxa" w:w="3318"/>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1A1A1A"/>
                <w:sz w:val="18"/>
                <w:szCs w:val="18"/>
              </w:rPr>
              <w:t xml:space="preserve"/>
            </w:r>
          </w:p>
        </w:tc>
      </w:tr>
      <w:tr>
        <w:trPr>
          <w:cantSplit/>
          <w:tblHeader w:val="false"/>
        </w:trPr>
        <w:tc>
          <w:tcPr>
            <w:tcW w:type="dxa" w:w="1452"/>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1A1A1A"/>
                <w:sz w:val="18"/>
                <w:szCs w:val="18"/>
              </w:rPr>
              <w:t xml:space="preserve">3</w:t>
            </w:r>
          </w:p>
        </w:tc>
        <w:tc>
          <w:tcPr>
            <w:tcW w:type="dxa" w:w="2488"/>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1A1A1A"/>
                <w:sz w:val="18"/>
                <w:szCs w:val="18"/>
              </w:rPr>
              <w:t xml:space="preserve"/>
            </w:r>
          </w:p>
        </w:tc>
        <w:tc>
          <w:tcPr>
            <w:tcW w:type="dxa" w:w="2488"/>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1A1A1A"/>
                <w:sz w:val="18"/>
                <w:szCs w:val="18"/>
              </w:rPr>
              <w:t xml:space="preserve"/>
            </w:r>
          </w:p>
        </w:tc>
        <w:tc>
          <w:tcPr>
            <w:tcW w:type="dxa" w:w="3318"/>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1A1A1A"/>
                <w:sz w:val="18"/>
                <w:szCs w:val="18"/>
              </w:rPr>
              <w:t xml:space="preserve"/>
            </w:r>
          </w:p>
        </w:tc>
      </w:tr>
      <w:tr>
        <w:trPr>
          <w:cantSplit/>
          <w:tblHeader w:val="false"/>
        </w:trPr>
        <w:tc>
          <w:tcPr>
            <w:tcW w:type="dxa" w:w="1452"/>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1A1A1A"/>
                <w:sz w:val="18"/>
                <w:szCs w:val="18"/>
              </w:rPr>
              <w:t xml:space="preserve">4</w:t>
            </w:r>
          </w:p>
        </w:tc>
        <w:tc>
          <w:tcPr>
            <w:tcW w:type="dxa" w:w="2488"/>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1A1A1A"/>
                <w:sz w:val="18"/>
                <w:szCs w:val="18"/>
              </w:rPr>
              <w:t xml:space="preserve"/>
            </w:r>
          </w:p>
        </w:tc>
        <w:tc>
          <w:tcPr>
            <w:tcW w:type="dxa" w:w="2488"/>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1A1A1A"/>
                <w:sz w:val="18"/>
                <w:szCs w:val="18"/>
              </w:rPr>
              <w:t xml:space="preserve"/>
            </w:r>
          </w:p>
        </w:tc>
        <w:tc>
          <w:tcPr>
            <w:tcW w:type="dxa" w:w="3318"/>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1A1A1A"/>
                <w:sz w:val="18"/>
                <w:szCs w:val="18"/>
              </w:rPr>
              <w:t xml:space="preserve"/>
            </w:r>
          </w:p>
        </w:tc>
      </w:tr>
    </w:tbl>
    <w:p>
      <w:pPr>
        <w:pStyle w:val="Heading2"/>
        <w:keepNext/>
        <w:keepLines/>
        <w:spacing w:after="120" w:before="280"/>
      </w:pPr>
      <w:r>
        <w:rPr>
          <w:rFonts w:ascii="Avenir Next LT Pro" w:cs="Avenir Next LT Pro" w:eastAsia="Avenir Next LT Pro" w:hAnsi="Avenir Next LT Pro"/>
          <w:b/>
          <w:bCs/>
          <w:color w:val="1A1A1A"/>
          <w:sz w:val="23"/>
          <w:szCs w:val="23"/>
        </w:rPr>
        <w:t xml:space="preserve">4.3  Controller GPIO allocation</w:t>
      </w:r>
    </w:p>
    <w:p>
      <w:pPr>
        <w:spacing w:after="120" w:before="0" w:line="276"/>
      </w:pPr>
      <w:r>
        <w:rPr>
          <w:rFonts w:ascii="Avenir Next LT Pro" w:cs="Avenir Next LT Pro" w:eastAsia="Avenir Next LT Pro" w:hAnsi="Avenir Next LT Pro"/>
          <w:color w:val="1A1A1A"/>
          <w:sz w:val="20"/>
          <w:szCs w:val="20"/>
        </w:rPr>
        <w:t xml:space="preserve">Assignments below are read from the firmware build configuration and source. They are contractual — changing them requires a firmware change.</w:t>
      </w:r>
    </w:p>
    <w:tbl>
      <w:tblPr>
        <w:tblW w:type="dxa" w:w="9746"/>
        <w:tblBorders>
          <w:top w:val="single" w:color="BFBBB4" w:sz="4"/>
          <w:left w:val="single" w:color="BFBBB4" w:sz="4"/>
          <w:bottom w:val="single" w:color="BFBBB4" w:sz="4"/>
          <w:right w:val="single" w:color="BFBBB4" w:sz="4"/>
          <w:insideH w:val="single" w:color="BFBBB4" w:sz="2"/>
          <w:insideV w:val="single" w:color="BFBBB4" w:sz="2"/>
        </w:tblBorders>
      </w:tblPr>
      <w:tblGrid>
        <w:gridCol w:w="1659"/>
        <w:gridCol w:w="3110"/>
        <w:gridCol w:w="4977"/>
      </w:tblGrid>
      <w:tr>
        <w:trPr>
          <w:cantSplit/>
          <w:tblHeader/>
        </w:trPr>
        <w:tc>
          <w:tcPr>
            <w:tcW w:type="dxa" w:w="1659"/>
            <w:shd w:fill="E8E6E1" w:color="auto" w:val="clear"/>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bCs/>
                <w:color w:val="1A1A1A"/>
                <w:sz w:val="18"/>
                <w:szCs w:val="18"/>
              </w:rPr>
              <w:t xml:space="preserve">GPIO</w:t>
            </w:r>
          </w:p>
        </w:tc>
        <w:tc>
          <w:tcPr>
            <w:tcW w:type="dxa" w:w="3110"/>
            <w:shd w:fill="E8E6E1" w:color="auto" w:val="clear"/>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bCs/>
                <w:color w:val="1A1A1A"/>
                <w:sz w:val="18"/>
                <w:szCs w:val="18"/>
              </w:rPr>
              <w:t xml:space="preserve">Function</w:t>
            </w:r>
          </w:p>
        </w:tc>
        <w:tc>
          <w:tcPr>
            <w:tcW w:type="dxa" w:w="4977"/>
            <w:shd w:fill="E8E6E1" w:color="auto" w:val="clear"/>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bCs/>
                <w:color w:val="1A1A1A"/>
                <w:sz w:val="18"/>
                <w:szCs w:val="18"/>
              </w:rPr>
              <w:t xml:space="preserve">Note</w:t>
            </w:r>
          </w:p>
        </w:tc>
      </w:tr>
      <w:tr>
        <w:trPr>
          <w:cantSplit/>
          <w:tblHeader w:val="false"/>
        </w:trPr>
        <w:tc>
          <w:tcPr>
            <w:tcW w:type="dxa" w:w="1659"/>
            <w:tcMar>
              <w:top w:type="dxa" w:w="70"/>
              <w:left w:type="dxa" w:w="100"/>
              <w:bottom w:type="dxa" w:w="70"/>
              <w:right w:type="dxa" w:w="100"/>
            </w:tcMar>
            <w:vAlign w:val="center"/>
          </w:tcPr>
          <w:p>
            <w:pPr>
              <w:spacing w:after="0" w:line="252"/>
            </w:pPr>
            <w:r>
              <w:rPr>
                <w:rFonts w:ascii="Consolas" w:cs="Consolas" w:eastAsia="Consolas" w:hAnsi="Consolas"/>
                <w:b w:val="false"/>
                <w:bCs w:val="false"/>
                <w:color w:val="1A1A1A"/>
                <w:sz w:val="18"/>
                <w:szCs w:val="18"/>
              </w:rPr>
              <w:t xml:space="preserve">1 (U0TXD)</w:t>
            </w:r>
          </w:p>
        </w:tc>
        <w:tc>
          <w:tcPr>
            <w:tcW w:type="dxa" w:w="3110"/>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1A1A1A"/>
                <w:sz w:val="18"/>
                <w:szCs w:val="18"/>
              </w:rPr>
              <w:t xml:space="preserve">Sensor UART TX</w:t>
            </w:r>
          </w:p>
        </w:tc>
        <w:tc>
          <w:tcPr>
            <w:tcW w:type="dxa" w:w="4977"/>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1A1A1A"/>
                <w:sz w:val="18"/>
                <w:szCs w:val="18"/>
              </w:rPr>
              <w:t xml:space="preserve">Set by SENSOR_UART_TX_PIN. Shared with the ROM bootloader console — see caution below</w:t>
            </w:r>
          </w:p>
        </w:tc>
      </w:tr>
      <w:tr>
        <w:trPr>
          <w:cantSplit/>
          <w:tblHeader w:val="false"/>
        </w:trPr>
        <w:tc>
          <w:tcPr>
            <w:tcW w:type="dxa" w:w="1659"/>
            <w:tcMar>
              <w:top w:type="dxa" w:w="70"/>
              <w:left w:type="dxa" w:w="100"/>
              <w:bottom w:type="dxa" w:w="70"/>
              <w:right w:type="dxa" w:w="100"/>
            </w:tcMar>
            <w:vAlign w:val="center"/>
          </w:tcPr>
          <w:p>
            <w:pPr>
              <w:spacing w:after="0" w:line="252"/>
            </w:pPr>
            <w:r>
              <w:rPr>
                <w:rFonts w:ascii="Consolas" w:cs="Consolas" w:eastAsia="Consolas" w:hAnsi="Consolas"/>
                <w:b w:val="false"/>
                <w:bCs w:val="false"/>
                <w:color w:val="1A1A1A"/>
                <w:sz w:val="18"/>
                <w:szCs w:val="18"/>
              </w:rPr>
              <w:t xml:space="preserve">3 (U0RXD)</w:t>
            </w:r>
          </w:p>
        </w:tc>
        <w:tc>
          <w:tcPr>
            <w:tcW w:type="dxa" w:w="3110"/>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1A1A1A"/>
                <w:sz w:val="18"/>
                <w:szCs w:val="18"/>
              </w:rPr>
              <w:t xml:space="preserve">Sensor UART RX</w:t>
            </w:r>
          </w:p>
        </w:tc>
        <w:tc>
          <w:tcPr>
            <w:tcW w:type="dxa" w:w="4977"/>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1A1A1A"/>
                <w:sz w:val="18"/>
                <w:szCs w:val="18"/>
              </w:rPr>
              <w:t xml:space="preserve">Set by SENSOR_UART_RX_PIN</w:t>
            </w:r>
          </w:p>
        </w:tc>
      </w:tr>
      <w:tr>
        <w:trPr>
          <w:cantSplit/>
          <w:tblHeader w:val="false"/>
        </w:trPr>
        <w:tc>
          <w:tcPr>
            <w:tcW w:type="dxa" w:w="1659"/>
            <w:tcMar>
              <w:top w:type="dxa" w:w="70"/>
              <w:left w:type="dxa" w:w="100"/>
              <w:bottom w:type="dxa" w:w="70"/>
              <w:right w:type="dxa" w:w="100"/>
            </w:tcMar>
            <w:vAlign w:val="center"/>
          </w:tcPr>
          <w:p>
            <w:pPr>
              <w:spacing w:after="0" w:line="252"/>
            </w:pPr>
            <w:r>
              <w:rPr>
                <w:rFonts w:ascii="Consolas" w:cs="Consolas" w:eastAsia="Consolas" w:hAnsi="Consolas"/>
                <w:b w:val="false"/>
                <w:bCs w:val="false"/>
                <w:color w:val="1A1A1A"/>
                <w:sz w:val="18"/>
                <w:szCs w:val="18"/>
              </w:rPr>
              <w:t xml:space="preserve">0</w:t>
            </w:r>
          </w:p>
        </w:tc>
        <w:tc>
          <w:tcPr>
            <w:tcW w:type="dxa" w:w="3110"/>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1A1A1A"/>
                <w:sz w:val="18"/>
                <w:szCs w:val="18"/>
              </w:rPr>
              <w:t xml:space="preserve">Setup button (BOOT)</w:t>
            </w:r>
          </w:p>
        </w:tc>
        <w:tc>
          <w:tcPr>
            <w:tcW w:type="dxa" w:w="4977"/>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1A1A1A"/>
                <w:sz w:val="18"/>
                <w:szCs w:val="18"/>
              </w:rPr>
              <w:t xml:space="preserve">Boot strapping pin — must be high at reset or the module enters download mode</w:t>
            </w:r>
          </w:p>
        </w:tc>
      </w:tr>
      <w:tr>
        <w:trPr>
          <w:cantSplit/>
          <w:tblHeader w:val="false"/>
        </w:trPr>
        <w:tc>
          <w:tcPr>
            <w:tcW w:type="dxa" w:w="1659"/>
            <w:tcMar>
              <w:top w:type="dxa" w:w="70"/>
              <w:left w:type="dxa" w:w="100"/>
              <w:bottom w:type="dxa" w:w="70"/>
              <w:right w:type="dxa" w:w="100"/>
            </w:tcMar>
            <w:vAlign w:val="center"/>
          </w:tcPr>
          <w:p>
            <w:pPr>
              <w:spacing w:after="0" w:line="252"/>
            </w:pPr>
            <w:r>
              <w:rPr>
                <w:rFonts w:ascii="Consolas" w:cs="Consolas" w:eastAsia="Consolas" w:hAnsi="Consolas"/>
                <w:b w:val="false"/>
                <w:bCs w:val="false"/>
                <w:color w:val="1A1A1A"/>
                <w:sz w:val="18"/>
                <w:szCs w:val="18"/>
              </w:rPr>
              <w:t xml:space="preserve">2</w:t>
            </w:r>
          </w:p>
        </w:tc>
        <w:tc>
          <w:tcPr>
            <w:tcW w:type="dxa" w:w="3110"/>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1A1A1A"/>
                <w:sz w:val="18"/>
                <w:szCs w:val="18"/>
              </w:rPr>
              <w:t xml:space="preserve">Status LED</w:t>
            </w:r>
          </w:p>
        </w:tc>
        <w:tc>
          <w:tcPr>
            <w:tcW w:type="dxa" w:w="4977"/>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1A1A1A"/>
                <w:sz w:val="18"/>
                <w:szCs w:val="18"/>
              </w:rPr>
              <w:t xml:space="preserve">Active-low. 1 Hz blink = AP up, station not connected</w:t>
            </w:r>
          </w:p>
        </w:tc>
      </w:tr>
    </w:tbl>
    <w:tbl>
      <w:tblPr>
        <w:tblW w:type="dxa" w:w="9746"/>
        <w:tblBorders>
          <w:top w:val="single" w:color="A63A17" w:sz="4"/>
          <w:left w:val="single" w:color="A63A17" w:sz="18"/>
          <w:bottom w:val="single" w:color="A63A17" w:sz="4"/>
          <w:right w:val="single" w:color="A63A17" w:sz="4"/>
          <w:insideH w:val="none"/>
          <w:insideV w:val="none"/>
        </w:tblBorders>
      </w:tblPr>
      <w:tblGrid>
        <w:gridCol w:w="9746"/>
      </w:tblGrid>
      <w:tr>
        <w:trPr>
          <w:cantSplit/>
        </w:trPr>
        <w:tc>
          <w:tcPr>
            <w:tcW w:type="dxa" w:w="9746"/>
            <w:shd w:fill="FBEEE9" w:color="auto" w:val="clear"/>
            <w:tcMar>
              <w:top w:type="dxa" w:w="120"/>
              <w:left w:type="dxa" w:w="160"/>
              <w:bottom w:type="dxa" w:w="120"/>
              <w:right w:type="dxa" w:w="160"/>
            </w:tcMar>
          </w:tcPr>
          <w:p>
            <w:pPr>
              <w:spacing w:after="60"/>
            </w:pPr>
            <w:r>
              <w:rPr>
                <w:rFonts w:ascii="Avenir Next LT Pro" w:cs="Avenir Next LT Pro" w:eastAsia="Avenir Next LT Pro" w:hAnsi="Avenir Next LT Pro"/>
                <w:b/>
                <w:bCs/>
                <w:color w:val="A63A17"/>
                <w:sz w:val="19"/>
                <w:szCs w:val="19"/>
              </w:rPr>
              <w:t xml:space="preserve">CAUTION — UART0 IS SHARED</w:t>
            </w:r>
          </w:p>
          <w:p>
            <w:pPr>
              <w:spacing w:after="60" w:line="264"/>
            </w:pPr>
            <w:r>
              <w:rPr>
                <w:rFonts w:ascii="Avenir Next LT Pro" w:cs="Avenir Next LT Pro" w:eastAsia="Avenir Next LT Pro" w:hAnsi="Avenir Next LT Pro"/>
                <w:color w:val="1A1A1A"/>
                <w:sz w:val="19"/>
                <w:szCs w:val="19"/>
              </w:rPr>
              <w:t xml:space="preserve">The sensor UART is mapped onto GPIO1/GPIO3, which are also the ESP32 ROM bootloader console. Application serial logging is disabled in this build for that reason.</w:t>
            </w:r>
          </w:p>
          <w:p>
            <w:pPr>
              <w:spacing w:after="60" w:line="264"/>
            </w:pPr>
            <w:r>
              <w:rPr>
                <w:rFonts w:ascii="Avenir Next LT Pro" w:cs="Avenir Next LT Pro" w:eastAsia="Avenir Next LT Pro" w:hAnsi="Avenir Next LT Pro"/>
                <w:color w:val="1A1A1A"/>
                <w:sz w:val="19"/>
                <w:szCs w:val="19"/>
              </w:rPr>
              <w:t xml:space="preserve">The USB data connection must be removed during normal sensor operation. Firmware cannot isolate these pins; a production PCB should migrate the sensor to a separate UART or add hardware isolation.</w:t>
            </w:r>
          </w:p>
        </w:tc>
      </w:tr>
    </w:tbl>
    <w:p>
      <w:pPr>
        <w:pStyle w:val="Heading1"/>
        <w:keepNext/>
        <w:keepLines/>
        <w:pBdr>
          <w:bottom w:val="single" w:color="BFBBB4" w:sz="8" w:space="6"/>
        </w:pBdr>
        <w:spacing w:after="160" w:before="360"/>
      </w:pPr>
      <w:r>
        <w:rPr>
          <w:rFonts w:ascii="Avenir Next LT Pro" w:cs="Avenir Next LT Pro" w:eastAsia="Avenir Next LT Pro" w:hAnsi="Avenir Next LT Pro"/>
          <w:b/>
          <w:bCs/>
          <w:color w:val="1A1A1A"/>
          <w:sz w:val="28"/>
          <w:szCs w:val="28"/>
        </w:rPr>
        <w:t xml:space="preserve">5.  Firmware and Identity</w:t>
      </w:r>
    </w:p>
    <w:p>
      <w:pPr>
        <w:pStyle w:val="Heading2"/>
        <w:keepNext/>
        <w:keepLines/>
        <w:spacing w:after="120" w:before="280"/>
      </w:pPr>
      <w:r>
        <w:rPr>
          <w:rFonts w:ascii="Avenir Next LT Pro" w:cs="Avenir Next LT Pro" w:eastAsia="Avenir Next LT Pro" w:hAnsi="Avenir Next LT Pro"/>
          <w:b/>
          <w:bCs/>
          <w:color w:val="1A1A1A"/>
          <w:sz w:val="23"/>
          <w:szCs w:val="23"/>
        </w:rPr>
        <w:t xml:space="preserve">5.1  Build baseline</w:t>
      </w:r>
    </w:p>
    <w:tbl>
      <w:tblPr>
        <w:tblW w:type="dxa" w:w="9746"/>
        <w:tblBorders>
          <w:top w:val="single" w:color="BFBBB4" w:sz="4"/>
          <w:left w:val="single" w:color="BFBBB4" w:sz="4"/>
          <w:bottom w:val="single" w:color="BFBBB4" w:sz="4"/>
          <w:right w:val="single" w:color="BFBBB4" w:sz="4"/>
          <w:insideH w:val="single" w:color="BFBBB4" w:sz="2"/>
          <w:insideV w:val="single" w:color="BFBBB4" w:sz="2"/>
        </w:tblBorders>
      </w:tblPr>
      <w:tblGrid>
        <w:gridCol w:w="3161"/>
        <w:gridCol w:w="6585"/>
      </w:tblGrid>
      <w:tr>
        <w:trPr>
          <w:cantSplit/>
          <w:tblHeader/>
        </w:trPr>
        <w:tc>
          <w:tcPr>
            <w:tcW w:type="dxa" w:w="3161"/>
            <w:shd w:fill="E8E6E1" w:color="auto" w:val="clear"/>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bCs/>
                <w:color w:val="1A1A1A"/>
                <w:sz w:val="18"/>
                <w:szCs w:val="18"/>
              </w:rPr>
              <w:t xml:space="preserve">Parameter</w:t>
            </w:r>
          </w:p>
        </w:tc>
        <w:tc>
          <w:tcPr>
            <w:tcW w:type="dxa" w:w="6585"/>
            <w:shd w:fill="E8E6E1" w:color="auto" w:val="clear"/>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bCs/>
                <w:color w:val="1A1A1A"/>
                <w:sz w:val="18"/>
                <w:szCs w:val="18"/>
              </w:rPr>
              <w:t xml:space="preserve">Value</w:t>
            </w:r>
          </w:p>
        </w:tc>
      </w:tr>
      <w:tr>
        <w:trPr>
          <w:cantSplit/>
          <w:tblHeader w:val="false"/>
        </w:trPr>
        <w:tc>
          <w:tcPr>
            <w:tcW w:type="dxa" w:w="3161"/>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1A1A1A"/>
                <w:sz w:val="18"/>
                <w:szCs w:val="18"/>
              </w:rPr>
              <w:t xml:space="preserve">Firmware name</w:t>
            </w:r>
          </w:p>
        </w:tc>
        <w:tc>
          <w:tcPr>
            <w:tcW w:type="dxa" w:w="6585"/>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1A1A1A"/>
                <w:sz w:val="18"/>
                <w:szCs w:val="18"/>
              </w:rPr>
              <w:t xml:space="preserve">VibScope Controller</w:t>
            </w:r>
          </w:p>
        </w:tc>
      </w:tr>
      <w:tr>
        <w:trPr>
          <w:cantSplit/>
          <w:tblHeader w:val="false"/>
        </w:trPr>
        <w:tc>
          <w:tcPr>
            <w:tcW w:type="dxa" w:w="3161"/>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1A1A1A"/>
                <w:sz w:val="18"/>
                <w:szCs w:val="18"/>
              </w:rPr>
              <w:t xml:space="preserve">Version</w:t>
            </w:r>
          </w:p>
        </w:tc>
        <w:tc>
          <w:tcPr>
            <w:tcW w:type="dxa" w:w="6585"/>
            <w:tcMar>
              <w:top w:type="dxa" w:w="70"/>
              <w:left w:type="dxa" w:w="100"/>
              <w:bottom w:type="dxa" w:w="70"/>
              <w:right w:type="dxa" w:w="100"/>
            </w:tcMar>
            <w:vAlign w:val="center"/>
          </w:tcPr>
          <w:p>
            <w:pPr>
              <w:spacing w:after="0" w:line="252"/>
            </w:pPr>
            <w:r>
              <w:rPr>
                <w:rFonts w:ascii="Consolas" w:cs="Consolas" w:eastAsia="Consolas" w:hAnsi="Consolas"/>
                <w:b w:val="false"/>
                <w:bCs w:val="false"/>
                <w:color w:val="1A1A1A"/>
                <w:sz w:val="18"/>
                <w:szCs w:val="18"/>
              </w:rPr>
              <w:t xml:space="preserve">1.8.5-live-readings</w:t>
            </w:r>
          </w:p>
        </w:tc>
      </w:tr>
      <w:tr>
        <w:trPr>
          <w:cantSplit/>
          <w:tblHeader w:val="false"/>
        </w:trPr>
        <w:tc>
          <w:tcPr>
            <w:tcW w:type="dxa" w:w="3161"/>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1A1A1A"/>
                <w:sz w:val="18"/>
                <w:szCs w:val="18"/>
              </w:rPr>
              <w:t xml:space="preserve">Platform</w:t>
            </w:r>
          </w:p>
        </w:tc>
        <w:tc>
          <w:tcPr>
            <w:tcW w:type="dxa" w:w="6585"/>
            <w:tcMar>
              <w:top w:type="dxa" w:w="70"/>
              <w:left w:type="dxa" w:w="100"/>
              <w:bottom w:type="dxa" w:w="70"/>
              <w:right w:type="dxa" w:w="100"/>
            </w:tcMar>
            <w:vAlign w:val="center"/>
          </w:tcPr>
          <w:p>
            <w:pPr>
              <w:spacing w:after="0" w:line="252"/>
            </w:pPr>
            <w:r>
              <w:rPr>
                <w:rFonts w:ascii="Consolas" w:cs="Consolas" w:eastAsia="Consolas" w:hAnsi="Consolas"/>
                <w:b w:val="false"/>
                <w:bCs w:val="false"/>
                <w:color w:val="1A1A1A"/>
                <w:sz w:val="18"/>
                <w:szCs w:val="18"/>
              </w:rPr>
              <w:t xml:space="preserve">espressif32 @ 7.0.1, Arduino framework, board esp32dev</w:t>
            </w:r>
          </w:p>
        </w:tc>
      </w:tr>
      <w:tr>
        <w:trPr>
          <w:cantSplit/>
          <w:tblHeader w:val="false"/>
        </w:trPr>
        <w:tc>
          <w:tcPr>
            <w:tcW w:type="dxa" w:w="3161"/>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1A1A1A"/>
                <w:sz w:val="18"/>
                <w:szCs w:val="18"/>
              </w:rPr>
              <w:t xml:space="preserve">Key libraries</w:t>
            </w:r>
          </w:p>
        </w:tc>
        <w:tc>
          <w:tcPr>
            <w:tcW w:type="dxa" w:w="6585"/>
            <w:tcMar>
              <w:top w:type="dxa" w:w="70"/>
              <w:left w:type="dxa" w:w="100"/>
              <w:bottom w:type="dxa" w:w="70"/>
              <w:right w:type="dxa" w:w="100"/>
            </w:tcMar>
            <w:vAlign w:val="center"/>
          </w:tcPr>
          <w:p>
            <w:pPr>
              <w:spacing w:after="0" w:line="252"/>
            </w:pPr>
            <w:r>
              <w:rPr>
                <w:rFonts w:ascii="Consolas" w:cs="Consolas" w:eastAsia="Consolas" w:hAnsi="Consolas"/>
                <w:b w:val="false"/>
                <w:bCs w:val="false"/>
                <w:color w:val="1A1A1A"/>
                <w:sz w:val="18"/>
                <w:szCs w:val="18"/>
              </w:rPr>
              <w:t xml:space="preserve">PubSubClient 2.8.0 · ArduinoJson 6.21.5</w:t>
            </w:r>
          </w:p>
        </w:tc>
      </w:tr>
      <w:tr>
        <w:trPr>
          <w:cantSplit/>
          <w:tblHeader w:val="false"/>
        </w:trPr>
        <w:tc>
          <w:tcPr>
            <w:tcW w:type="dxa" w:w="3161"/>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1A1A1A"/>
                <w:sz w:val="18"/>
                <w:szCs w:val="18"/>
              </w:rPr>
              <w:t xml:space="preserve">Build command</w:t>
            </w:r>
          </w:p>
        </w:tc>
        <w:tc>
          <w:tcPr>
            <w:tcW w:type="dxa" w:w="6585"/>
            <w:tcMar>
              <w:top w:type="dxa" w:w="70"/>
              <w:left w:type="dxa" w:w="100"/>
              <w:bottom w:type="dxa" w:w="70"/>
              <w:right w:type="dxa" w:w="100"/>
            </w:tcMar>
            <w:vAlign w:val="center"/>
          </w:tcPr>
          <w:p>
            <w:pPr>
              <w:spacing w:after="0" w:line="252"/>
            </w:pPr>
            <w:r>
              <w:rPr>
                <w:rFonts w:ascii="Consolas" w:cs="Consolas" w:eastAsia="Consolas" w:hAnsi="Consolas"/>
                <w:b w:val="false"/>
                <w:bCs w:val="false"/>
                <w:color w:val="1A1A1A"/>
                <w:sz w:val="18"/>
                <w:szCs w:val="18"/>
              </w:rPr>
              <w:t xml:space="preserve">platformio run --environment esp32dev</w:t>
            </w:r>
          </w:p>
        </w:tc>
      </w:tr>
      <w:tr>
        <w:trPr>
          <w:cantSplit/>
          <w:tblHeader w:val="false"/>
        </w:trPr>
        <w:tc>
          <w:tcPr>
            <w:tcW w:type="dxa" w:w="3161"/>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1A1A1A"/>
                <w:sz w:val="18"/>
                <w:szCs w:val="18"/>
              </w:rPr>
              <w:t xml:space="preserve">Contract tests</w:t>
            </w:r>
          </w:p>
        </w:tc>
        <w:tc>
          <w:tcPr>
            <w:tcW w:type="dxa" w:w="6585"/>
            <w:tcMar>
              <w:top w:type="dxa" w:w="70"/>
              <w:left w:type="dxa" w:w="100"/>
              <w:bottom w:type="dxa" w:w="70"/>
              <w:right w:type="dxa" w:w="100"/>
            </w:tcMar>
            <w:vAlign w:val="center"/>
          </w:tcPr>
          <w:p>
            <w:pPr>
              <w:spacing w:after="0" w:line="252"/>
            </w:pPr>
            <w:r>
              <w:rPr>
                <w:rFonts w:ascii="Consolas" w:cs="Consolas" w:eastAsia="Consolas" w:hAnsi="Consolas"/>
                <w:b w:val="false"/>
                <w:bCs w:val="false"/>
                <w:color w:val="1A1A1A"/>
                <w:sz w:val="18"/>
                <w:szCs w:val="18"/>
              </w:rPr>
              <w:t xml:space="preserve">node test/reliability_contract_test.js  (must pass before release)</w:t>
            </w:r>
          </w:p>
        </w:tc>
      </w:tr>
    </w:tbl>
    <w:p>
      <w:pPr>
        <w:pStyle w:val="Heading2"/>
        <w:keepNext/>
        <w:keepLines/>
        <w:spacing w:after="120" w:before="280"/>
      </w:pPr>
      <w:r>
        <w:rPr>
          <w:rFonts w:ascii="Avenir Next LT Pro" w:cs="Avenir Next LT Pro" w:eastAsia="Avenir Next LT Pro" w:hAnsi="Avenir Next LT Pro"/>
          <w:b/>
          <w:bCs/>
          <w:color w:val="1A1A1A"/>
          <w:sz w:val="23"/>
          <w:szCs w:val="23"/>
        </w:rPr>
        <w:t xml:space="preserve">5.2  Serial number and credentials</w:t>
      </w:r>
    </w:p>
    <w:p>
      <w:pPr>
        <w:spacing w:after="120" w:before="0" w:line="276"/>
      </w:pPr>
      <w:r>
        <w:rPr>
          <w:rFonts w:ascii="Avenir Next LT Pro" w:cs="Avenir Next LT Pro" w:eastAsia="Avenir Next LT Pro" w:hAnsi="Avenir Next LT Pro"/>
          <w:color w:val="1A1A1A"/>
          <w:sz w:val="20"/>
          <w:szCs w:val="20"/>
        </w:rPr>
        <w:t xml:space="preserve">Each build allocates a unique serial from a managed registry. The serial is simultaneously the device identity, the setup AP suffix and the initial AP password.</w:t>
      </w:r>
    </w:p>
    <w:tbl>
      <w:tblPr>
        <w:tblW w:type="dxa" w:w="9746"/>
        <w:tblBorders>
          <w:top w:val="single" w:color="BFBBB4" w:sz="4"/>
          <w:left w:val="single" w:color="BFBBB4" w:sz="4"/>
          <w:bottom w:val="single" w:color="BFBBB4" w:sz="4"/>
          <w:right w:val="single" w:color="BFBBB4" w:sz="4"/>
          <w:insideH w:val="single" w:color="BFBBB4" w:sz="2"/>
          <w:insideV w:val="single" w:color="BFBBB4" w:sz="2"/>
        </w:tblBorders>
      </w:tblPr>
      <w:tblGrid>
        <w:gridCol w:w="3161"/>
        <w:gridCol w:w="6585"/>
      </w:tblGrid>
      <w:tr>
        <w:trPr>
          <w:cantSplit/>
          <w:tblHeader/>
        </w:trPr>
        <w:tc>
          <w:tcPr>
            <w:tcW w:type="dxa" w:w="3161"/>
            <w:shd w:fill="E8E6E1" w:color="auto" w:val="clear"/>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bCs/>
                <w:color w:val="1A1A1A"/>
                <w:sz w:val="18"/>
                <w:szCs w:val="18"/>
              </w:rPr>
              <w:t xml:space="preserve">Item</w:t>
            </w:r>
          </w:p>
        </w:tc>
        <w:tc>
          <w:tcPr>
            <w:tcW w:type="dxa" w:w="6585"/>
            <w:shd w:fill="E8E6E1" w:color="auto" w:val="clear"/>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bCs/>
                <w:color w:val="1A1A1A"/>
                <w:sz w:val="18"/>
                <w:szCs w:val="18"/>
              </w:rPr>
              <w:t xml:space="preserve">Value / format</w:t>
            </w:r>
          </w:p>
        </w:tc>
      </w:tr>
      <w:tr>
        <w:trPr>
          <w:cantSplit/>
          <w:tblHeader w:val="false"/>
        </w:trPr>
        <w:tc>
          <w:tcPr>
            <w:tcW w:type="dxa" w:w="3161"/>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1A1A1A"/>
                <w:sz w:val="18"/>
                <w:szCs w:val="18"/>
              </w:rPr>
              <w:t xml:space="preserve">Serial namespace</w:t>
            </w:r>
          </w:p>
        </w:tc>
        <w:tc>
          <w:tcPr>
            <w:tcW w:type="dxa" w:w="6585"/>
            <w:tcMar>
              <w:top w:type="dxa" w:w="70"/>
              <w:left w:type="dxa" w:w="100"/>
              <w:bottom w:type="dxa" w:w="70"/>
              <w:right w:type="dxa" w:w="100"/>
            </w:tcMar>
            <w:vAlign w:val="center"/>
          </w:tcPr>
          <w:p>
            <w:pPr>
              <w:spacing w:after="0" w:line="252"/>
            </w:pPr>
            <w:r>
              <w:rPr>
                <w:rFonts w:ascii="Consolas" w:cs="Consolas" w:eastAsia="Consolas" w:hAnsi="Consolas"/>
                <w:b w:val="false"/>
                <w:bCs w:val="false"/>
                <w:color w:val="1A1A1A"/>
                <w:sz w:val="18"/>
                <w:szCs w:val="18"/>
              </w:rPr>
              <w:t xml:space="preserve">2607-12-#####</w:t>
            </w:r>
          </w:p>
        </w:tc>
      </w:tr>
      <w:tr>
        <w:trPr>
          <w:cantSplit/>
          <w:tblHeader w:val="false"/>
        </w:trPr>
        <w:tc>
          <w:tcPr>
            <w:tcW w:type="dxa" w:w="3161"/>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1A1A1A"/>
                <w:sz w:val="18"/>
                <w:szCs w:val="18"/>
              </w:rPr>
              <w:t xml:space="preserve">Allocated by</w:t>
            </w:r>
          </w:p>
        </w:tc>
        <w:tc>
          <w:tcPr>
            <w:tcW w:type="dxa" w:w="6585"/>
            <w:tcMar>
              <w:top w:type="dxa" w:w="70"/>
              <w:left w:type="dxa" w:w="100"/>
              <w:bottom w:type="dxa" w:w="70"/>
              <w:right w:type="dxa" w:w="100"/>
            </w:tcMar>
            <w:vAlign w:val="center"/>
          </w:tcPr>
          <w:p>
            <w:pPr>
              <w:spacing w:after="0" w:line="252"/>
            </w:pPr>
            <w:r>
              <w:rPr>
                <w:rFonts w:ascii="Consolas" w:cs="Consolas" w:eastAsia="Consolas" w:hAnsi="Consolas"/>
                <w:b w:val="false"/>
                <w:bCs w:val="false"/>
                <w:color w:val="1A1A1A"/>
                <w:sz w:val="18"/>
                <w:szCs w:val="18"/>
              </w:rPr>
              <w:t xml:space="preserve">scripts/generate_serial.py → include/build_identity.h</w:t>
            </w:r>
          </w:p>
        </w:tc>
      </w:tr>
      <w:tr>
        <w:trPr>
          <w:cantSplit/>
          <w:tblHeader w:val="false"/>
        </w:trPr>
        <w:tc>
          <w:tcPr>
            <w:tcW w:type="dxa" w:w="3161"/>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1A1A1A"/>
                <w:sz w:val="18"/>
                <w:szCs w:val="18"/>
              </w:rPr>
              <w:t xml:space="preserve">Registry</w:t>
            </w:r>
          </w:p>
        </w:tc>
        <w:tc>
          <w:tcPr>
            <w:tcW w:type="dxa" w:w="6585"/>
            <w:tcMar>
              <w:top w:type="dxa" w:w="70"/>
              <w:left w:type="dxa" w:w="100"/>
              <w:bottom w:type="dxa" w:w="70"/>
              <w:right w:type="dxa" w:w="100"/>
            </w:tcMar>
            <w:vAlign w:val="center"/>
          </w:tcPr>
          <w:p>
            <w:pPr>
              <w:spacing w:after="0" w:line="252"/>
            </w:pPr>
            <w:r>
              <w:rPr>
                <w:rFonts w:ascii="Consolas" w:cs="Consolas" w:eastAsia="Consolas" w:hAnsi="Consolas"/>
                <w:b w:val="false"/>
                <w:bCs w:val="false"/>
                <w:color w:val="1A1A1A"/>
                <w:sz w:val="18"/>
                <w:szCs w:val="18"/>
              </w:rPr>
              <w:t xml:space="preserve">scripts/serial_registry.json — must be committed after every build</w:t>
            </w:r>
          </w:p>
        </w:tc>
      </w:tr>
      <w:tr>
        <w:trPr>
          <w:cantSplit/>
          <w:tblHeader w:val="false"/>
        </w:trPr>
        <w:tc>
          <w:tcPr>
            <w:tcW w:type="dxa" w:w="3161"/>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1A1A1A"/>
                <w:sz w:val="18"/>
                <w:szCs w:val="18"/>
              </w:rPr>
              <w:t xml:space="preserve">Setup AP SSID</w:t>
            </w:r>
          </w:p>
        </w:tc>
        <w:tc>
          <w:tcPr>
            <w:tcW w:type="dxa" w:w="6585"/>
            <w:tcMar>
              <w:top w:type="dxa" w:w="70"/>
              <w:left w:type="dxa" w:w="100"/>
              <w:bottom w:type="dxa" w:w="70"/>
              <w:right w:type="dxa" w:w="100"/>
            </w:tcMar>
            <w:vAlign w:val="center"/>
          </w:tcPr>
          <w:p>
            <w:pPr>
              <w:spacing w:after="0" w:line="252"/>
            </w:pPr>
            <w:r>
              <w:rPr>
                <w:rFonts w:ascii="Consolas" w:cs="Consolas" w:eastAsia="Consolas" w:hAnsi="Consolas"/>
                <w:b w:val="false"/>
                <w:bCs w:val="false"/>
                <w:color w:val="1A1A1A"/>
                <w:sz w:val="18"/>
                <w:szCs w:val="18"/>
              </w:rPr>
              <w:t xml:space="preserve">VibScope-&lt;serial&gt;</w:t>
            </w:r>
          </w:p>
        </w:tc>
      </w:tr>
      <w:tr>
        <w:trPr>
          <w:cantSplit/>
          <w:tblHeader w:val="false"/>
        </w:trPr>
        <w:tc>
          <w:tcPr>
            <w:tcW w:type="dxa" w:w="3161"/>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1A1A1A"/>
                <w:sz w:val="18"/>
                <w:szCs w:val="18"/>
              </w:rPr>
              <w:t xml:space="preserve">Setup AP password</w:t>
            </w:r>
          </w:p>
        </w:tc>
        <w:tc>
          <w:tcPr>
            <w:tcW w:type="dxa" w:w="6585"/>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1A1A1A"/>
                <w:sz w:val="18"/>
                <w:szCs w:val="18"/>
              </w:rPr>
              <w:t xml:space="preserve">The product serial (migration default — must be changed at commissioning)</w:t>
            </w:r>
          </w:p>
        </w:tc>
      </w:tr>
      <w:tr>
        <w:trPr>
          <w:cantSplit/>
          <w:tblHeader w:val="false"/>
        </w:trPr>
        <w:tc>
          <w:tcPr>
            <w:tcW w:type="dxa" w:w="3161"/>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1A1A1A"/>
                <w:sz w:val="18"/>
                <w:szCs w:val="18"/>
              </w:rPr>
              <w:t xml:space="preserve">Setup portal URL</w:t>
            </w:r>
          </w:p>
        </w:tc>
        <w:tc>
          <w:tcPr>
            <w:tcW w:type="dxa" w:w="6585"/>
            <w:tcMar>
              <w:top w:type="dxa" w:w="70"/>
              <w:left w:type="dxa" w:w="100"/>
              <w:bottom w:type="dxa" w:w="70"/>
              <w:right w:type="dxa" w:w="100"/>
            </w:tcMar>
            <w:vAlign w:val="center"/>
          </w:tcPr>
          <w:p>
            <w:pPr>
              <w:spacing w:after="0" w:line="252"/>
            </w:pPr>
            <w:r>
              <w:rPr>
                <w:rFonts w:ascii="Consolas" w:cs="Consolas" w:eastAsia="Consolas" w:hAnsi="Consolas"/>
                <w:b w:val="false"/>
                <w:bCs w:val="false"/>
                <w:color w:val="1A1A1A"/>
                <w:sz w:val="18"/>
                <w:szCs w:val="18"/>
              </w:rPr>
              <w:t xml:space="preserve">http://192.168.1.4</w:t>
            </w:r>
          </w:p>
        </w:tc>
      </w:tr>
      <w:tr>
        <w:trPr>
          <w:cantSplit/>
          <w:tblHeader w:val="false"/>
        </w:trPr>
        <w:tc>
          <w:tcPr>
            <w:tcW w:type="dxa" w:w="3161"/>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1A1A1A"/>
                <w:sz w:val="18"/>
                <w:szCs w:val="18"/>
              </w:rPr>
              <w:t xml:space="preserve">MQTT topic</w:t>
            </w:r>
          </w:p>
        </w:tc>
        <w:tc>
          <w:tcPr>
            <w:tcW w:type="dxa" w:w="6585"/>
            <w:tcMar>
              <w:top w:type="dxa" w:w="70"/>
              <w:left w:type="dxa" w:w="100"/>
              <w:bottom w:type="dxa" w:w="70"/>
              <w:right w:type="dxa" w:w="100"/>
            </w:tcMar>
            <w:vAlign w:val="center"/>
          </w:tcPr>
          <w:p>
            <w:pPr>
              <w:spacing w:after="0" w:line="252"/>
            </w:pPr>
            <w:r>
              <w:rPr>
                <w:rFonts w:ascii="Consolas" w:cs="Consolas" w:eastAsia="Consolas" w:hAnsi="Consolas"/>
                <w:b w:val="false"/>
                <w:bCs w:val="false"/>
                <w:color w:val="1A1A1A"/>
                <w:sz w:val="18"/>
                <w:szCs w:val="18"/>
              </w:rPr>
              <w:t xml:space="preserve">sensors/&lt;deviceId&gt;/measurements</w:t>
            </w:r>
          </w:p>
        </w:tc>
      </w:tr>
      <w:tr>
        <w:trPr>
          <w:cantSplit/>
          <w:tblHeader w:val="false"/>
        </w:trPr>
        <w:tc>
          <w:tcPr>
            <w:tcW w:type="dxa" w:w="3161"/>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1A1A1A"/>
                <w:sz w:val="18"/>
                <w:szCs w:val="18"/>
              </w:rPr>
              <w:t xml:space="preserve">MQTT port (default)</w:t>
            </w:r>
          </w:p>
        </w:tc>
        <w:tc>
          <w:tcPr>
            <w:tcW w:type="dxa" w:w="6585"/>
            <w:tcMar>
              <w:top w:type="dxa" w:w="70"/>
              <w:left w:type="dxa" w:w="100"/>
              <w:bottom w:type="dxa" w:w="70"/>
              <w:right w:type="dxa" w:w="100"/>
            </w:tcMar>
            <w:vAlign w:val="center"/>
          </w:tcPr>
          <w:p>
            <w:pPr>
              <w:spacing w:after="0" w:line="252"/>
            </w:pPr>
            <w:r>
              <w:rPr>
                <w:rFonts w:ascii="Consolas" w:cs="Consolas" w:eastAsia="Consolas" w:hAnsi="Consolas"/>
                <w:b w:val="false"/>
                <w:bCs w:val="false"/>
                <w:color w:val="1A1A1A"/>
                <w:sz w:val="18"/>
                <w:szCs w:val="18"/>
              </w:rPr>
              <w:t xml:space="preserve">1883</w:t>
            </w:r>
          </w:p>
        </w:tc>
      </w:tr>
    </w:tbl>
    <w:tbl>
      <w:tblPr>
        <w:tblW w:type="dxa" w:w="9746"/>
        <w:tblBorders>
          <w:top w:val="single" w:color="A63A17" w:sz="4"/>
          <w:left w:val="single" w:color="A63A17" w:sz="18"/>
          <w:bottom w:val="single" w:color="A63A17" w:sz="4"/>
          <w:right w:val="single" w:color="A63A17" w:sz="4"/>
          <w:insideH w:val="none"/>
          <w:insideV w:val="none"/>
        </w:tblBorders>
      </w:tblPr>
      <w:tblGrid>
        <w:gridCol w:w="9746"/>
      </w:tblGrid>
      <w:tr>
        <w:trPr>
          <w:cantSplit/>
        </w:trPr>
        <w:tc>
          <w:tcPr>
            <w:tcW w:type="dxa" w:w="9746"/>
            <w:shd w:fill="FBEEE9" w:color="auto" w:val="clear"/>
            <w:tcMar>
              <w:top w:type="dxa" w:w="120"/>
              <w:left w:type="dxa" w:w="160"/>
              <w:bottom w:type="dxa" w:w="120"/>
              <w:right w:type="dxa" w:w="160"/>
            </w:tcMar>
          </w:tcPr>
          <w:p>
            <w:pPr>
              <w:spacing w:after="60"/>
            </w:pPr>
            <w:r>
              <w:rPr>
                <w:rFonts w:ascii="Avenir Next LT Pro" w:cs="Avenir Next LT Pro" w:eastAsia="Avenir Next LT Pro" w:hAnsi="Avenir Next LT Pro"/>
                <w:b/>
                <w:bCs/>
                <w:color w:val="A63A17"/>
                <w:sz w:val="19"/>
                <w:szCs w:val="19"/>
              </w:rPr>
              <w:t xml:space="preserve">SECURITY — SHARED FALLBACK CREDENTIAL</w:t>
            </w:r>
          </w:p>
          <w:p>
            <w:pPr>
              <w:spacing w:after="60" w:line="264"/>
            </w:pPr>
            <w:r>
              <w:rPr>
                <w:rFonts w:ascii="Avenir Next LT Pro" w:cs="Avenir Next LT Pro" w:eastAsia="Avenir Next LT Pro" w:hAnsi="Avenir Next LT Pro"/>
                <w:color w:val="1A1A1A"/>
                <w:sz w:val="19"/>
                <w:szCs w:val="19"/>
              </w:rPr>
              <w:t xml:space="preserve">A unit shipped with the AP password still equal to its serial is not commissioned. The setup portal rejects production saves while the shared fallback remains active.</w:t>
            </w:r>
          </w:p>
          <w:p>
            <w:pPr>
              <w:spacing w:after="60" w:line="264"/>
            </w:pPr>
            <w:r>
              <w:rPr>
                <w:rFonts w:ascii="Avenir Next LT Pro" w:cs="Avenir Next LT Pro" w:eastAsia="Avenir Next LT Pro" w:hAnsi="Avenir Next LT Pro"/>
                <w:color w:val="1A1A1A"/>
                <w:sz w:val="19"/>
                <w:szCs w:val="19"/>
              </w:rPr>
              <w:t xml:space="preserve">Replace it with a unique 8–63 character password at commissioning and record it in the customer build record — not in this document.</w:t>
            </w:r>
          </w:p>
          <w:p>
            <w:pPr>
              <w:spacing w:after="60" w:line="264"/>
            </w:pPr>
            <w:r>
              <w:rPr>
                <w:rFonts w:ascii="Avenir Next LT Pro" w:cs="Avenir Next LT Pro" w:eastAsia="Avenir Next LT Pro" w:hAnsi="Avenir Next LT Pro"/>
                <w:color w:val="1A1A1A"/>
                <w:sz w:val="19"/>
                <w:szCs w:val="19"/>
              </w:rPr>
              <w:t xml:space="preserve">Note also that MQTT port 1883 is plaintext. Do not carry reusable production credentials over an untrusted network on this port.</w:t>
            </w:r>
          </w:p>
        </w:tc>
      </w:tr>
    </w:tbl>
    <w:p>
      <w:pPr>
        <w:pStyle w:val="Heading2"/>
        <w:keepNext/>
        <w:keepLines/>
        <w:spacing w:after="120" w:before="280"/>
      </w:pPr>
      <w:r>
        <w:rPr>
          <w:rFonts w:ascii="Avenir Next LT Pro" w:cs="Avenir Next LT Pro" w:eastAsia="Avenir Next LT Pro" w:hAnsi="Avenir Next LT Pro"/>
          <w:b/>
          <w:bCs/>
          <w:color w:val="1A1A1A"/>
          <w:sz w:val="23"/>
          <w:szCs w:val="23"/>
        </w:rPr>
        <w:t xml:space="preserve">5.3  Supported sensor profiles</w:t>
      </w:r>
    </w:p>
    <w:p>
      <w:pPr>
        <w:spacing w:after="120" w:before="0" w:line="276"/>
      </w:pPr>
      <w:r>
        <w:rPr>
          <w:rFonts w:ascii="Avenir Next LT Pro" w:cs="Avenir Next LT Pro" w:eastAsia="Avenir Next LT Pro" w:hAnsi="Avenir Next LT Pro"/>
          <w:color w:val="1A1A1A"/>
          <w:sz w:val="20"/>
          <w:szCs w:val="20"/>
        </w:rPr>
        <w:t xml:space="preserve">Profiles are uploaded through the setup portal and stored in NVS. The shipped set is:</w:t>
      </w:r>
    </w:p>
    <w:tbl>
      <w:tblPr>
        <w:tblW w:type="dxa" w:w="9746"/>
        <w:tblBorders>
          <w:top w:val="single" w:color="BFBBB4" w:sz="4"/>
          <w:left w:val="single" w:color="BFBBB4" w:sz="4"/>
          <w:bottom w:val="single" w:color="BFBBB4" w:sz="4"/>
          <w:right w:val="single" w:color="BFBBB4" w:sz="4"/>
          <w:insideH w:val="single" w:color="BFBBB4" w:sz="2"/>
          <w:insideV w:val="single" w:color="BFBBB4" w:sz="2"/>
        </w:tblBorders>
      </w:tblPr>
      <w:tblGrid>
        <w:gridCol w:w="2696"/>
        <w:gridCol w:w="2488"/>
        <w:gridCol w:w="2488"/>
        <w:gridCol w:w="2074"/>
      </w:tblGrid>
      <w:tr>
        <w:trPr>
          <w:cantSplit/>
          <w:tblHeader/>
        </w:trPr>
        <w:tc>
          <w:tcPr>
            <w:tcW w:type="dxa" w:w="2696"/>
            <w:shd w:fill="E8E6E1" w:color="auto" w:val="clear"/>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bCs/>
                <w:color w:val="1A1A1A"/>
                <w:sz w:val="18"/>
                <w:szCs w:val="18"/>
              </w:rPr>
              <w:t xml:space="preserve">Profile key</w:t>
            </w:r>
          </w:p>
        </w:tc>
        <w:tc>
          <w:tcPr>
            <w:tcW w:type="dxa" w:w="2488"/>
            <w:shd w:fill="E8E6E1" w:color="auto" w:val="clear"/>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bCs/>
                <w:color w:val="1A1A1A"/>
                <w:sz w:val="18"/>
                <w:szCs w:val="18"/>
              </w:rPr>
              <w:t xml:space="preserve">Model</w:t>
            </w:r>
          </w:p>
        </w:tc>
        <w:tc>
          <w:tcPr>
            <w:tcW w:type="dxa" w:w="2488"/>
            <w:shd w:fill="E8E6E1" w:color="auto" w:val="clear"/>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bCs/>
                <w:color w:val="1A1A1A"/>
                <w:sz w:val="18"/>
                <w:szCs w:val="18"/>
              </w:rPr>
              <w:t xml:space="preserve">Baud / format</w:t>
            </w:r>
          </w:p>
        </w:tc>
        <w:tc>
          <w:tcPr>
            <w:tcW w:type="dxa" w:w="2074"/>
            <w:shd w:fill="E8E6E1" w:color="auto" w:val="clear"/>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bCs/>
                <w:color w:val="1A1A1A"/>
                <w:sz w:val="18"/>
                <w:szCs w:val="18"/>
              </w:rPr>
              <w:t xml:space="preserve">Slave ID</w:t>
            </w:r>
          </w:p>
        </w:tc>
      </w:tr>
      <w:tr>
        <w:trPr>
          <w:cantSplit/>
          <w:tblHeader w:val="false"/>
        </w:trPr>
        <w:tc>
          <w:tcPr>
            <w:tcW w:type="dxa" w:w="2696"/>
            <w:tcMar>
              <w:top w:type="dxa" w:w="70"/>
              <w:left w:type="dxa" w:w="100"/>
              <w:bottom w:type="dxa" w:w="70"/>
              <w:right w:type="dxa" w:w="100"/>
            </w:tcMar>
            <w:vAlign w:val="center"/>
          </w:tcPr>
          <w:p>
            <w:pPr>
              <w:spacing w:after="0" w:line="252"/>
            </w:pPr>
            <w:r>
              <w:rPr>
                <w:rFonts w:ascii="Consolas" w:cs="Consolas" w:eastAsia="Consolas" w:hAnsi="Consolas"/>
                <w:b w:val="false"/>
                <w:bCs w:val="false"/>
                <w:color w:val="1A1A1A"/>
                <w:sz w:val="18"/>
                <w:szCs w:val="18"/>
              </w:rPr>
              <w:t xml:space="preserve">witmotion_wtvb01</w:t>
            </w:r>
          </w:p>
        </w:tc>
        <w:tc>
          <w:tcPr>
            <w:tcW w:type="dxa" w:w="2488"/>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1A1A1A"/>
                <w:sz w:val="18"/>
                <w:szCs w:val="18"/>
              </w:rPr>
              <w:t xml:space="preserve">WitMotion WTVB01-485</w:t>
            </w:r>
          </w:p>
        </w:tc>
        <w:tc>
          <w:tcPr>
            <w:tcW w:type="dxa" w:w="2488"/>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1A1A1A"/>
                <w:sz w:val="18"/>
                <w:szCs w:val="18"/>
              </w:rPr>
              <w:t xml:space="preserve">9600 8N1</w:t>
            </w:r>
          </w:p>
        </w:tc>
        <w:tc>
          <w:tcPr>
            <w:tcW w:type="dxa" w:w="2074"/>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1A1A1A"/>
                <w:sz w:val="18"/>
                <w:szCs w:val="18"/>
              </w:rPr>
              <w:t xml:space="preserve">80</w:t>
            </w:r>
          </w:p>
        </w:tc>
      </w:tr>
      <w:tr>
        <w:trPr>
          <w:cantSplit/>
          <w:tblHeader w:val="false"/>
        </w:trPr>
        <w:tc>
          <w:tcPr>
            <w:tcW w:type="dxa" w:w="2696"/>
            <w:tcMar>
              <w:top w:type="dxa" w:w="70"/>
              <w:left w:type="dxa" w:w="100"/>
              <w:bottom w:type="dxa" w:w="70"/>
              <w:right w:type="dxa" w:w="100"/>
            </w:tcMar>
            <w:vAlign w:val="center"/>
          </w:tcPr>
          <w:p>
            <w:pPr>
              <w:spacing w:after="0" w:line="252"/>
            </w:pPr>
            <w:r>
              <w:rPr>
                <w:rFonts w:ascii="Consolas" w:cs="Consolas" w:eastAsia="Consolas" w:hAnsi="Consolas"/>
                <w:b w:val="false"/>
                <w:bCs w:val="false"/>
                <w:color w:val="1A1A1A"/>
                <w:sz w:val="18"/>
                <w:szCs w:val="18"/>
              </w:rPr>
              <w:t xml:space="preserve">bx2601a_wz01m</w:t>
            </w:r>
          </w:p>
        </w:tc>
        <w:tc>
          <w:tcPr>
            <w:tcW w:type="dxa" w:w="2488"/>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1A1A1A"/>
                <w:sz w:val="18"/>
                <w:szCs w:val="18"/>
              </w:rPr>
              <w:t xml:space="preserve">BX2601A / WZ01M</w:t>
            </w:r>
          </w:p>
        </w:tc>
        <w:tc>
          <w:tcPr>
            <w:tcW w:type="dxa" w:w="2488"/>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1A1A1A"/>
                <w:sz w:val="18"/>
                <w:szCs w:val="18"/>
              </w:rPr>
              <w:t xml:space="preserve">Per profile</w:t>
            </w:r>
          </w:p>
        </w:tc>
        <w:tc>
          <w:tcPr>
            <w:tcW w:type="dxa" w:w="2074"/>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1A1A1A"/>
                <w:sz w:val="18"/>
                <w:szCs w:val="18"/>
              </w:rPr>
              <w:t xml:space="preserve">Per profile</w:t>
            </w:r>
          </w:p>
        </w:tc>
      </w:tr>
      <w:tr>
        <w:trPr>
          <w:cantSplit/>
          <w:tblHeader w:val="false"/>
        </w:trPr>
        <w:tc>
          <w:tcPr>
            <w:tcW w:type="dxa" w:w="2696"/>
            <w:tcMar>
              <w:top w:type="dxa" w:w="70"/>
              <w:left w:type="dxa" w:w="100"/>
              <w:bottom w:type="dxa" w:w="70"/>
              <w:right w:type="dxa" w:w="100"/>
            </w:tcMar>
            <w:vAlign w:val="center"/>
          </w:tcPr>
          <w:p>
            <w:pPr>
              <w:spacing w:after="0" w:line="252"/>
            </w:pPr>
            <w:r>
              <w:rPr>
                <w:rFonts w:ascii="Consolas" w:cs="Consolas" w:eastAsia="Consolas" w:hAnsi="Consolas"/>
                <w:b w:val="false"/>
                <w:bCs w:val="false"/>
                <w:color w:val="1A1A1A"/>
                <w:sz w:val="18"/>
                <w:szCs w:val="18"/>
              </w:rPr>
              <w:t xml:space="preserve">bydr3016zw</w:t>
            </w:r>
          </w:p>
        </w:tc>
        <w:tc>
          <w:tcPr>
            <w:tcW w:type="dxa" w:w="2488"/>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1A1A1A"/>
                <w:sz w:val="18"/>
                <w:szCs w:val="18"/>
              </w:rPr>
              <w:t xml:space="preserve">BYDR3016ZW</w:t>
            </w:r>
          </w:p>
        </w:tc>
        <w:tc>
          <w:tcPr>
            <w:tcW w:type="dxa" w:w="2488"/>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1A1A1A"/>
                <w:sz w:val="18"/>
                <w:szCs w:val="18"/>
              </w:rPr>
              <w:t xml:space="preserve">Per profile</w:t>
            </w:r>
          </w:p>
        </w:tc>
        <w:tc>
          <w:tcPr>
            <w:tcW w:type="dxa" w:w="2074"/>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1A1A1A"/>
                <w:sz w:val="18"/>
                <w:szCs w:val="18"/>
              </w:rPr>
              <w:t xml:space="preserve">Per profile</w:t>
            </w:r>
          </w:p>
        </w:tc>
      </w:tr>
      <w:tr>
        <w:trPr>
          <w:cantSplit/>
          <w:tblHeader w:val="false"/>
        </w:trPr>
        <w:tc>
          <w:tcPr>
            <w:tcW w:type="dxa" w:w="2696"/>
            <w:tcMar>
              <w:top w:type="dxa" w:w="70"/>
              <w:left w:type="dxa" w:w="100"/>
              <w:bottom w:type="dxa" w:w="70"/>
              <w:right w:type="dxa" w:w="100"/>
            </w:tcMar>
            <w:vAlign w:val="center"/>
          </w:tcPr>
          <w:p>
            <w:pPr>
              <w:spacing w:after="0" w:line="252"/>
            </w:pPr>
            <w:r>
              <w:rPr>
                <w:rFonts w:ascii="Consolas" w:cs="Consolas" w:eastAsia="Consolas" w:hAnsi="Consolas"/>
                <w:b w:val="false"/>
                <w:bCs w:val="false"/>
                <w:color w:val="1A1A1A"/>
                <w:sz w:val="18"/>
                <w:szCs w:val="18"/>
              </w:rPr>
              <w:t xml:space="preserve">banner_qm30vt3</w:t>
            </w:r>
          </w:p>
        </w:tc>
        <w:tc>
          <w:tcPr>
            <w:tcW w:type="dxa" w:w="2488"/>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1A1A1A"/>
                <w:sz w:val="18"/>
                <w:szCs w:val="18"/>
              </w:rPr>
              <w:t xml:space="preserve">Banner QM30VT3</w:t>
            </w:r>
          </w:p>
        </w:tc>
        <w:tc>
          <w:tcPr>
            <w:tcW w:type="dxa" w:w="2488"/>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1A1A1A"/>
                <w:sz w:val="18"/>
                <w:szCs w:val="18"/>
              </w:rPr>
              <w:t xml:space="preserve">19200</w:t>
            </w:r>
          </w:p>
        </w:tc>
        <w:tc>
          <w:tcPr>
            <w:tcW w:type="dxa" w:w="2074"/>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1A1A1A"/>
                <w:sz w:val="18"/>
                <w:szCs w:val="18"/>
              </w:rPr>
              <w:t xml:space="preserve">Per profile</w:t>
            </w:r>
          </w:p>
        </w:tc>
      </w:tr>
    </w:tbl>
    <w:p>
      <w:pPr>
        <w:pStyle w:val="Heading1"/>
        <w:keepNext/>
        <w:keepLines/>
        <w:pBdr>
          <w:bottom w:val="single" w:color="BFBBB4" w:sz="8" w:space="6"/>
        </w:pBdr>
        <w:spacing w:after="160" w:before="360"/>
      </w:pPr>
      <w:r>
        <w:rPr>
          <w:rFonts w:ascii="Avenir Next LT Pro" w:cs="Avenir Next LT Pro" w:eastAsia="Avenir Next LT Pro" w:hAnsi="Avenir Next LT Pro"/>
          <w:b/>
          <w:bCs/>
          <w:color w:val="1A1A1A"/>
          <w:sz w:val="28"/>
          <w:szCs w:val="28"/>
        </w:rPr>
        <w:t xml:space="preserve">6.  Assembly Procedure</w:t>
      </w:r>
    </w:p>
    <w:tbl>
      <w:tblPr>
        <w:tblW w:type="dxa" w:w="9746"/>
        <w:tblBorders>
          <w:top w:val="single" w:color="A63A17" w:sz="4"/>
          <w:left w:val="single" w:color="A63A17" w:sz="18"/>
          <w:bottom w:val="single" w:color="A63A17" w:sz="4"/>
          <w:right w:val="single" w:color="A63A17" w:sz="4"/>
          <w:insideH w:val="none"/>
          <w:insideV w:val="none"/>
        </w:tblBorders>
      </w:tblPr>
      <w:tblGrid>
        <w:gridCol w:w="9746"/>
      </w:tblGrid>
      <w:tr>
        <w:trPr>
          <w:cantSplit/>
        </w:trPr>
        <w:tc>
          <w:tcPr>
            <w:tcW w:type="dxa" w:w="9746"/>
            <w:shd w:fill="FBEEE9" w:color="auto" w:val="clear"/>
            <w:tcMar>
              <w:top w:type="dxa" w:w="120"/>
              <w:left w:type="dxa" w:w="160"/>
              <w:bottom w:type="dxa" w:w="120"/>
              <w:right w:type="dxa" w:w="160"/>
            </w:tcMar>
          </w:tcPr>
          <w:p>
            <w:pPr>
              <w:spacing w:after="60"/>
            </w:pPr>
            <w:r>
              <w:rPr>
                <w:rFonts w:ascii="Avenir Next LT Pro" w:cs="Avenir Next LT Pro" w:eastAsia="Avenir Next LT Pro" w:hAnsi="Avenir Next LT Pro"/>
                <w:b/>
                <w:bCs/>
                <w:color w:val="A63A17"/>
                <w:sz w:val="19"/>
                <w:szCs w:val="19"/>
              </w:rPr>
              <w:t xml:space="preserve">SAFETY — MAINS VOLTAGE</w:t>
            </w:r>
          </w:p>
          <w:p>
            <w:pPr>
              <w:spacing w:after="60" w:line="264"/>
            </w:pPr>
            <w:r>
              <w:rPr>
                <w:rFonts w:ascii="Avenir Next LT Pro" w:cs="Avenir Next LT Pro" w:eastAsia="Avenir Next LT Pro" w:hAnsi="Avenir Next LT Pro"/>
                <w:color w:val="1A1A1A"/>
                <w:sz w:val="19"/>
                <w:szCs w:val="19"/>
              </w:rPr>
              <w:t xml:space="preserve">The RS-15-12 is an open-frame mains supply. All work in sections 6.3 and beyond is to be performed with the unit fully disconnected from mains.</w:t>
            </w:r>
          </w:p>
          <w:p>
            <w:pPr>
              <w:spacing w:after="60" w:line="264"/>
            </w:pPr>
            <w:r>
              <w:rPr>
                <w:rFonts w:ascii="Avenir Next LT Pro" w:cs="Avenir Next LT Pro" w:eastAsia="Avenir Next LT Pro" w:hAnsi="Avenir Next LT Pro"/>
                <w:color w:val="1A1A1A"/>
                <w:sz w:val="19"/>
                <w:szCs w:val="19"/>
              </w:rPr>
              <w:t xml:space="preserve">Do not energise the unit with the PSU cover removed. Earth continuity must be verified before first energisation.</w:t>
            </w:r>
          </w:p>
        </w:tc>
      </w:tr>
    </w:tbl>
    <w:p>
      <w:pPr>
        <w:pStyle w:val="Heading2"/>
        <w:keepNext/>
        <w:keepLines/>
        <w:spacing w:after="120" w:before="280"/>
      </w:pPr>
      <w:r>
        <w:rPr>
          <w:rFonts w:ascii="Avenir Next LT Pro" w:cs="Avenir Next LT Pro" w:eastAsia="Avenir Next LT Pro" w:hAnsi="Avenir Next LT Pro"/>
          <w:b/>
          <w:bCs/>
          <w:color w:val="1A1A1A"/>
          <w:sz w:val="23"/>
          <w:szCs w:val="23"/>
        </w:rPr>
        <w:t xml:space="preserve">6.1  Print and prepare the enclosure</w:t>
      </w:r>
    </w:p>
    <w:p>
      <w:pPr>
        <w:pStyle w:val="ListParagraph"/>
        <w:numPr>
          <w:ilvl w:val="0"/>
          <w:numId w:val="2"/>
        </w:numPr>
        <w:spacing w:after="100" w:line="276"/>
      </w:pPr>
      <w:r>
        <w:rPr>
          <w:rFonts w:ascii="Avenir Next LT Pro" w:cs="Avenir Next LT Pro" w:eastAsia="Avenir Next LT Pro" w:hAnsi="Avenir Next LT Pro"/>
          <w:color w:val="1A1A1A"/>
          <w:sz w:val="20"/>
          <w:szCs w:val="20"/>
        </w:rPr>
        <w:t xml:space="preserve">Print main.stl, back_cover.stl and psu_cover.stl to the parameters in §2.2. Inspect for layer separation, warping and dimensional error at the gland and M12 bosses.</w:t>
      </w:r>
    </w:p>
    <w:p>
      <w:pPr>
        <w:pStyle w:val="ListParagraph"/>
        <w:numPr>
          <w:ilvl w:val="0"/>
          <w:numId w:val="2"/>
        </w:numPr>
        <w:spacing w:after="100" w:line="276"/>
      </w:pPr>
      <w:r>
        <w:rPr>
          <w:rFonts w:ascii="Avenir Next LT Pro" w:cs="Avenir Next LT Pro" w:eastAsia="Avenir Next LT Pro" w:hAnsi="Avenir Next LT Pro"/>
          <w:color w:val="1A1A1A"/>
          <w:sz w:val="20"/>
          <w:szCs w:val="20"/>
        </w:rPr>
        <w:t xml:space="preserve">Anneal per the filament data sheet if the deployment temperature requires it.</w:t>
      </w:r>
    </w:p>
    <w:p>
      <w:pPr>
        <w:pStyle w:val="ListParagraph"/>
        <w:numPr>
          <w:ilvl w:val="0"/>
          <w:numId w:val="2"/>
        </w:numPr>
        <w:spacing w:after="100" w:line="276"/>
      </w:pPr>
      <w:r>
        <w:rPr>
          <w:rFonts w:ascii="Avenir Next LT Pro" w:cs="Avenir Next LT Pro" w:eastAsia="Avenir Next LT Pro" w:hAnsi="Avenir Next LT Pro"/>
          <w:color w:val="1A1A1A"/>
          <w:sz w:val="20"/>
          <w:szCs w:val="20"/>
        </w:rPr>
        <w:t xml:space="preserve">Heat-set the brass M2 inserts into every boss. Set them square and flush; a tilted insert will crack the boss when the screw is torqued.</w:t>
      </w:r>
    </w:p>
    <w:p>
      <w:pPr>
        <w:pStyle w:val="ListParagraph"/>
        <w:numPr>
          <w:ilvl w:val="0"/>
          <w:numId w:val="2"/>
        </w:numPr>
        <w:spacing w:after="100" w:line="276"/>
      </w:pPr>
      <w:r>
        <w:rPr>
          <w:rFonts w:ascii="Avenir Next LT Pro" w:cs="Avenir Next LT Pro" w:eastAsia="Avenir Next LT Pro" w:hAnsi="Avenir Next LT Pro"/>
          <w:color w:val="1A1A1A"/>
          <w:sz w:val="20"/>
          <w:szCs w:val="20"/>
        </w:rPr>
        <w:t xml:space="preserve">Test-fit the RS-15-12, the PCB and both covers dry, before any wiring.</w:t>
      </w:r>
    </w:p>
    <w:p>
      <w:pPr>
        <w:pStyle w:val="Heading2"/>
        <w:keepNext/>
        <w:keepLines/>
        <w:spacing w:after="120" w:before="280"/>
      </w:pPr>
      <w:r>
        <w:rPr>
          <w:rFonts w:ascii="Avenir Next LT Pro" w:cs="Avenir Next LT Pro" w:eastAsia="Avenir Next LT Pro" w:hAnsi="Avenir Next LT Pro"/>
          <w:b/>
          <w:bCs/>
          <w:color w:val="1A1A1A"/>
          <w:sz w:val="23"/>
          <w:szCs w:val="23"/>
        </w:rPr>
        <w:t xml:space="preserve">6.2  Populate and test the PCB</w:t>
      </w:r>
    </w:p>
    <w:p>
      <w:pPr>
        <w:pStyle w:val="ListParagraph"/>
        <w:numPr>
          <w:ilvl w:val="0"/>
          <w:numId w:val="2"/>
        </w:numPr>
        <w:spacing w:after="100" w:line="276"/>
      </w:pPr>
      <w:r>
        <w:rPr>
          <w:rFonts w:ascii="Avenir Next LT Pro" w:cs="Avenir Next LT Pro" w:eastAsia="Avenir Next LT Pro" w:hAnsi="Avenir Next LT Pro"/>
          <w:color w:val="1A1A1A"/>
          <w:sz w:val="20"/>
          <w:szCs w:val="20"/>
        </w:rPr>
        <w:t xml:space="preserve">Fit the 2.54 mm headers: two 19-way and two 4-way female headers, plus male pin header as required.</w:t>
      </w:r>
    </w:p>
    <w:p>
      <w:pPr>
        <w:pStyle w:val="ListParagraph"/>
        <w:numPr>
          <w:ilvl w:val="0"/>
          <w:numId w:val="2"/>
        </w:numPr>
        <w:spacing w:after="100" w:line="276"/>
      </w:pPr>
      <w:r>
        <w:rPr>
          <w:rFonts w:ascii="Avenir Next LT Pro" w:cs="Avenir Next LT Pro" w:eastAsia="Avenir Next LT Pro" w:hAnsi="Avenir Next LT Pro"/>
          <w:color w:val="1A1A1A"/>
          <w:sz w:val="20"/>
          <w:szCs w:val="20"/>
        </w:rPr>
        <w:t xml:space="preserve">Fit the 4-way and 2-way 5 mm terminal blocks.</w:t>
      </w:r>
    </w:p>
    <w:p>
      <w:pPr>
        <w:pStyle w:val="ListParagraph"/>
        <w:numPr>
          <w:ilvl w:val="0"/>
          <w:numId w:val="2"/>
        </w:numPr>
        <w:spacing w:after="100" w:line="276"/>
      </w:pPr>
      <w:r>
        <w:rPr>
          <w:rFonts w:ascii="Avenir Next LT Pro" w:cs="Avenir Next LT Pro" w:eastAsia="Avenir Next LT Pro" w:hAnsi="Avenir Next LT Pro"/>
          <w:color w:val="1A1A1A"/>
          <w:sz w:val="20"/>
          <w:szCs w:val="20"/>
        </w:rPr>
        <w:t xml:space="preserve">Fit the Murata OKI-78SR-5 DC-DC converter. Observe polarity and orientation.</w:t>
      </w:r>
    </w:p>
    <w:p>
      <w:pPr>
        <w:pStyle w:val="ListParagraph"/>
        <w:numPr>
          <w:ilvl w:val="0"/>
          <w:numId w:val="2"/>
        </w:numPr>
        <w:spacing w:after="100" w:line="276"/>
      </w:pPr>
      <w:r>
        <w:rPr>
          <w:rFonts w:ascii="Avenir Next LT Pro" w:cs="Avenir Next LT Pro" w:eastAsia="Avenir Next LT Pro" w:hAnsi="Avenir Next LT Pro"/>
          <w:color w:val="1A1A1A"/>
          <w:sz w:val="20"/>
          <w:szCs w:val="20"/>
        </w:rPr>
        <w:t xml:space="preserve">Fit the isolated RS-485 ⇄ TTL module.</w:t>
      </w:r>
    </w:p>
    <w:p>
      <w:pPr>
        <w:pStyle w:val="ListParagraph"/>
        <w:numPr>
          <w:ilvl w:val="0"/>
          <w:numId w:val="2"/>
        </w:numPr>
        <w:spacing w:after="100" w:line="276"/>
      </w:pPr>
      <w:r>
        <w:rPr>
          <w:rFonts w:ascii="Avenir Next LT Pro" w:cs="Avenir Next LT Pro" w:eastAsia="Avenir Next LT Pro" w:hAnsi="Avenir Next LT Pro"/>
          <w:color w:val="1A1A1A"/>
          <w:sz w:val="20"/>
          <w:szCs w:val="20"/>
        </w:rPr>
        <w:t xml:space="preserve">Before fitting the ESP32: apply 12 V to the input terminal and confirm 5.0 V ± 0.2 V at the converter output. Do not proceed on a failed reading.</w:t>
      </w:r>
    </w:p>
    <w:p>
      <w:pPr>
        <w:pStyle w:val="ListParagraph"/>
        <w:numPr>
          <w:ilvl w:val="0"/>
          <w:numId w:val="2"/>
        </w:numPr>
        <w:spacing w:after="100" w:line="276"/>
      </w:pPr>
      <w:r>
        <w:rPr>
          <w:rFonts w:ascii="Avenir Next LT Pro" w:cs="Avenir Next LT Pro" w:eastAsia="Avenir Next LT Pro" w:hAnsi="Avenir Next LT Pro"/>
          <w:color w:val="1A1A1A"/>
          <w:sz w:val="20"/>
          <w:szCs w:val="20"/>
        </w:rPr>
        <w:t xml:space="preserve">Remove power, then seat the ESP32-WROOM-32U carrier.</w:t>
      </w:r>
    </w:p>
    <w:p>
      <w:pPr>
        <w:pStyle w:val="ListParagraph"/>
        <w:numPr>
          <w:ilvl w:val="0"/>
          <w:numId w:val="2"/>
        </w:numPr>
        <w:spacing w:after="100" w:line="276"/>
      </w:pPr>
      <w:r>
        <w:rPr>
          <w:rFonts w:ascii="Avenir Next LT Pro" w:cs="Avenir Next LT Pro" w:eastAsia="Avenir Next LT Pro" w:hAnsi="Avenir Next LT Pro"/>
          <w:color w:val="1A1A1A"/>
          <w:sz w:val="20"/>
          <w:szCs w:val="20"/>
        </w:rPr>
        <w:t xml:space="preserve">Connect the U.FL antenna lead. Press until it clicks — a partially seated U.FL connector will pass a bench test at close range and fail in the field.</w:t>
      </w:r>
    </w:p>
    <w:p>
      <w:pPr>
        <w:pStyle w:val="Heading2"/>
        <w:keepNext/>
        <w:keepLines/>
        <w:spacing w:after="120" w:before="280"/>
      </w:pPr>
      <w:r>
        <w:rPr>
          <w:rFonts w:ascii="Avenir Next LT Pro" w:cs="Avenir Next LT Pro" w:eastAsia="Avenir Next LT Pro" w:hAnsi="Avenir Next LT Pro"/>
          <w:b/>
          <w:bCs/>
          <w:color w:val="1A1A1A"/>
          <w:sz w:val="23"/>
          <w:szCs w:val="23"/>
        </w:rPr>
        <w:t xml:space="preserve">6.3  Flash and verify firmware</w:t>
      </w:r>
    </w:p>
    <w:p>
      <w:pPr>
        <w:pStyle w:val="ListParagraph"/>
        <w:numPr>
          <w:ilvl w:val="0"/>
          <w:numId w:val="2"/>
        </w:numPr>
        <w:spacing w:after="100" w:line="276"/>
      </w:pPr>
      <w:r>
        <w:rPr>
          <w:rFonts w:ascii="Avenir Next LT Pro" w:cs="Avenir Next LT Pro" w:eastAsia="Avenir Next LT Pro" w:hAnsi="Avenir Next LT Pro"/>
          <w:color w:val="1A1A1A"/>
          <w:sz w:val="20"/>
          <w:szCs w:val="20"/>
        </w:rPr>
        <w:t xml:space="preserve">Allocate a serial and build: the pre-build script writes include/build_identity.h automatically.</w:t>
      </w:r>
    </w:p>
    <w:p>
      <w:pPr>
        <w:pStyle w:val="ListParagraph"/>
        <w:numPr>
          <w:ilvl w:val="0"/>
          <w:numId w:val="2"/>
        </w:numPr>
        <w:spacing w:after="100" w:line="276"/>
      </w:pPr>
      <w:r>
        <w:rPr>
          <w:rFonts w:ascii="Avenir Next LT Pro" w:cs="Avenir Next LT Pro" w:eastAsia="Avenir Next LT Pro" w:hAnsi="Avenir Next LT Pro"/>
          <w:color w:val="1A1A1A"/>
          <w:sz w:val="20"/>
          <w:szCs w:val="20"/>
        </w:rPr>
        <w:t xml:space="preserve">Run the reliability contract tests. Do not flash from a failing tree.</w:t>
      </w:r>
    </w:p>
    <w:p>
      <w:pPr>
        <w:pStyle w:val="ListParagraph"/>
        <w:numPr>
          <w:ilvl w:val="0"/>
          <w:numId w:val="2"/>
        </w:numPr>
        <w:spacing w:after="100" w:line="276"/>
      </w:pPr>
      <w:r>
        <w:rPr>
          <w:rFonts w:ascii="Avenir Next LT Pro" w:cs="Avenir Next LT Pro" w:eastAsia="Avenir Next LT Pro" w:hAnsi="Avenir Next LT Pro"/>
          <w:color w:val="1A1A1A"/>
          <w:sz w:val="20"/>
          <w:szCs w:val="20"/>
        </w:rPr>
        <w:t xml:space="preserve">Flash over USB, then disconnect the USB data connection — GPIO1/GPIO3 are shared with the sensor UART (§4.3).</w:t>
      </w:r>
    </w:p>
    <w:p>
      <w:pPr>
        <w:pStyle w:val="ListParagraph"/>
        <w:numPr>
          <w:ilvl w:val="0"/>
          <w:numId w:val="2"/>
        </w:numPr>
        <w:spacing w:after="100" w:line="276"/>
      </w:pPr>
      <w:r>
        <w:rPr>
          <w:rFonts w:ascii="Avenir Next LT Pro" w:cs="Avenir Next LT Pro" w:eastAsia="Avenir Next LT Pro" w:hAnsi="Avenir Next LT Pro"/>
          <w:color w:val="1A1A1A"/>
          <w:sz w:val="20"/>
          <w:szCs w:val="20"/>
        </w:rPr>
        <w:t xml:space="preserve">Record the firmware version, the binary SHA-256 and the allocated serial in the customer build record.</w:t>
      </w:r>
    </w:p>
    <w:p>
      <w:pPr>
        <w:pStyle w:val="Heading2"/>
        <w:keepNext/>
        <w:keepLines/>
        <w:spacing w:after="120" w:before="280"/>
      </w:pPr>
      <w:r>
        <w:rPr>
          <w:rFonts w:ascii="Avenir Next LT Pro" w:cs="Avenir Next LT Pro" w:eastAsia="Avenir Next LT Pro" w:hAnsi="Avenir Next LT Pro"/>
          <w:b/>
          <w:bCs/>
          <w:color w:val="1A1A1A"/>
          <w:sz w:val="23"/>
          <w:szCs w:val="23"/>
        </w:rPr>
        <w:t xml:space="preserve">6.4  Mechanical and mains assembly</w:t>
      </w:r>
    </w:p>
    <w:p>
      <w:pPr>
        <w:pStyle w:val="ListParagraph"/>
        <w:numPr>
          <w:ilvl w:val="0"/>
          <w:numId w:val="2"/>
        </w:numPr>
        <w:spacing w:after="100" w:line="276"/>
      </w:pPr>
      <w:r>
        <w:rPr>
          <w:rFonts w:ascii="Avenir Next LT Pro" w:cs="Avenir Next LT Pro" w:eastAsia="Avenir Next LT Pro" w:hAnsi="Avenir Next LT Pro"/>
          <w:color w:val="1A1A1A"/>
          <w:sz w:val="20"/>
          <w:szCs w:val="20"/>
        </w:rPr>
        <w:t xml:space="preserve">Mount the RS-15-12 into the main body using the two M3 × 4 mm screws.</w:t>
      </w:r>
    </w:p>
    <w:p>
      <w:pPr>
        <w:pStyle w:val="ListParagraph"/>
        <w:numPr>
          <w:ilvl w:val="0"/>
          <w:numId w:val="2"/>
        </w:numPr>
        <w:spacing w:after="100" w:line="276"/>
      </w:pPr>
      <w:r>
        <w:rPr>
          <w:rFonts w:ascii="Avenir Next LT Pro" w:cs="Avenir Next LT Pro" w:eastAsia="Avenir Next LT Pro" w:hAnsi="Avenir Next LT Pro"/>
          <w:color w:val="1A1A1A"/>
          <w:sz w:val="20"/>
          <w:szCs w:val="20"/>
        </w:rPr>
        <w:t xml:space="preserve">Fit the PG11 stainless gland to the mains entry boss.</w:t>
      </w:r>
    </w:p>
    <w:p>
      <w:pPr>
        <w:pStyle w:val="ListParagraph"/>
        <w:numPr>
          <w:ilvl w:val="0"/>
          <w:numId w:val="2"/>
        </w:numPr>
        <w:spacing w:after="100" w:line="276"/>
      </w:pPr>
      <w:r>
        <w:rPr>
          <w:rFonts w:ascii="Avenir Next LT Pro" w:cs="Avenir Next LT Pro" w:eastAsia="Avenir Next LT Pro" w:hAnsi="Avenir Next LT Pro"/>
          <w:color w:val="1A1A1A"/>
          <w:sz w:val="20"/>
          <w:szCs w:val="20"/>
        </w:rPr>
        <w:t xml:space="preserve">Route the Fajar 1 mm² 3-core cable through the gland. Terminate L, N and E to the PSU input. Tighten the gland to achieve strain relief and sealing.</w:t>
      </w:r>
    </w:p>
    <w:p>
      <w:pPr>
        <w:pStyle w:val="ListParagraph"/>
        <w:numPr>
          <w:ilvl w:val="0"/>
          <w:numId w:val="2"/>
        </w:numPr>
        <w:spacing w:after="100" w:line="276"/>
      </w:pPr>
      <w:r>
        <w:rPr>
          <w:rFonts w:ascii="Avenir Next LT Pro" w:cs="Avenir Next LT Pro" w:eastAsia="Avenir Next LT Pro" w:hAnsi="Avenir Next LT Pro"/>
          <w:color w:val="1A1A1A"/>
          <w:sz w:val="20"/>
          <w:szCs w:val="20"/>
        </w:rPr>
        <w:t xml:space="preserve">Wire the PSU 12 V output to the PCB input terminal block, observing polarity.</w:t>
      </w:r>
    </w:p>
    <w:p>
      <w:pPr>
        <w:pStyle w:val="ListParagraph"/>
        <w:numPr>
          <w:ilvl w:val="0"/>
          <w:numId w:val="2"/>
        </w:numPr>
        <w:spacing w:after="100" w:line="276"/>
      </w:pPr>
      <w:r>
        <w:rPr>
          <w:rFonts w:ascii="Avenir Next LT Pro" w:cs="Avenir Next LT Pro" w:eastAsia="Avenir Next LT Pro" w:hAnsi="Avenir Next LT Pro"/>
          <w:color w:val="1A1A1A"/>
          <w:sz w:val="20"/>
          <w:szCs w:val="20"/>
        </w:rPr>
        <w:t xml:space="preserve">Mount the PCB into the main body using M2 × 5 mm screws.</w:t>
      </w:r>
    </w:p>
    <w:p>
      <w:pPr>
        <w:pStyle w:val="ListParagraph"/>
        <w:numPr>
          <w:ilvl w:val="0"/>
          <w:numId w:val="2"/>
        </w:numPr>
        <w:spacing w:after="100" w:line="276"/>
      </w:pPr>
      <w:r>
        <w:rPr>
          <w:rFonts w:ascii="Avenir Next LT Pro" w:cs="Avenir Next LT Pro" w:eastAsia="Avenir Next LT Pro" w:hAnsi="Avenir Next LT Pro"/>
          <w:color w:val="1A1A1A"/>
          <w:sz w:val="20"/>
          <w:szCs w:val="20"/>
        </w:rPr>
        <w:t xml:space="preserve">Fit the M12 4-pin panel connector and wire it per §4.2 — do not proceed until that table is populated.</w:t>
      </w:r>
    </w:p>
    <w:p>
      <w:pPr>
        <w:pStyle w:val="ListParagraph"/>
        <w:numPr>
          <w:ilvl w:val="0"/>
          <w:numId w:val="2"/>
        </w:numPr>
        <w:spacing w:after="100" w:line="276"/>
      </w:pPr>
      <w:r>
        <w:rPr>
          <w:rFonts w:ascii="Avenir Next LT Pro" w:cs="Avenir Next LT Pro" w:eastAsia="Avenir Next LT Pro" w:hAnsi="Avenir Next LT Pro"/>
          <w:color w:val="1A1A1A"/>
          <w:sz w:val="20"/>
          <w:szCs w:val="20"/>
        </w:rPr>
        <w:t xml:space="preserve">Fit psu_cover.stl over the power supply. This is a mains touch guard; it is not optional.</w:t>
      </w:r>
    </w:p>
    <w:p>
      <w:pPr>
        <w:pStyle w:val="ListParagraph"/>
        <w:numPr>
          <w:ilvl w:val="0"/>
          <w:numId w:val="2"/>
        </w:numPr>
        <w:spacing w:after="100" w:line="276"/>
      </w:pPr>
      <w:r>
        <w:rPr>
          <w:rFonts w:ascii="Avenir Next LT Pro" w:cs="Avenir Next LT Pro" w:eastAsia="Avenir Next LT Pro" w:hAnsi="Avenir Next LT Pro"/>
          <w:color w:val="1A1A1A"/>
          <w:sz w:val="20"/>
          <w:szCs w:val="20"/>
        </w:rPr>
        <w:t xml:space="preserve">Fit back_cover.stl and secure with the remaining M2 × 5 mm screws. Fourteen M2 screws are used in total.</w:t>
      </w:r>
    </w:p>
    <w:p>
      <w:pPr>
        <w:pStyle w:val="Heading2"/>
        <w:keepNext/>
        <w:keepLines/>
        <w:spacing w:after="120" w:before="280"/>
      </w:pPr>
      <w:r>
        <w:rPr>
          <w:rFonts w:ascii="Avenir Next LT Pro" w:cs="Avenir Next LT Pro" w:eastAsia="Avenir Next LT Pro" w:hAnsi="Avenir Next LT Pro"/>
          <w:b/>
          <w:bCs/>
          <w:color w:val="1A1A1A"/>
          <w:sz w:val="23"/>
          <w:szCs w:val="23"/>
        </w:rPr>
        <w:t xml:space="preserve">6.5  Sensor cable assembly</w:t>
      </w:r>
    </w:p>
    <w:p>
      <w:pPr>
        <w:pStyle w:val="ListParagraph"/>
        <w:numPr>
          <w:ilvl w:val="0"/>
          <w:numId w:val="2"/>
        </w:numPr>
        <w:spacing w:after="100" w:line="276"/>
      </w:pPr>
      <w:r>
        <w:rPr>
          <w:rFonts w:ascii="Avenir Next LT Pro" w:cs="Avenir Next LT Pro" w:eastAsia="Avenir Next LT Pro" w:hAnsi="Avenir Next LT Pro"/>
          <w:color w:val="1A1A1A"/>
          <w:sz w:val="20"/>
          <w:szCs w:val="20"/>
        </w:rPr>
        <w:t xml:space="preserve">Make off the M12 4-pin female connector to the sensor cable per §4.2.</w:t>
      </w:r>
    </w:p>
    <w:p>
      <w:pPr>
        <w:pStyle w:val="ListParagraph"/>
        <w:numPr>
          <w:ilvl w:val="0"/>
          <w:numId w:val="2"/>
        </w:numPr>
        <w:spacing w:after="100" w:line="276"/>
      </w:pPr>
      <w:r>
        <w:rPr>
          <w:rFonts w:ascii="Avenir Next LT Pro" w:cs="Avenir Next LT Pro" w:eastAsia="Avenir Next LT Pro" w:hAnsi="Avenir Next LT Pro"/>
          <w:color w:val="1A1A1A"/>
          <w:sz w:val="20"/>
          <w:szCs w:val="20"/>
        </w:rPr>
        <w:t xml:space="preserve">Verify continuity pin-to-pin and confirm no short between the supply pair and the RS-485 pair before connecting a sensor.</w:t>
      </w:r>
    </w:p>
    <w:p>
      <w:pPr>
        <w:pStyle w:val="Heading1"/>
        <w:keepNext/>
        <w:keepLines/>
        <w:pBdr>
          <w:bottom w:val="single" w:color="BFBBB4" w:sz="8" w:space="6"/>
        </w:pBdr>
        <w:spacing w:after="160" w:before="360"/>
      </w:pPr>
      <w:r>
        <w:rPr>
          <w:rFonts w:ascii="Avenir Next LT Pro" w:cs="Avenir Next LT Pro" w:eastAsia="Avenir Next LT Pro" w:hAnsi="Avenir Next LT Pro"/>
          <w:b/>
          <w:bCs/>
          <w:color w:val="1A1A1A"/>
          <w:sz w:val="28"/>
          <w:szCs w:val="28"/>
        </w:rPr>
        <w:t xml:space="preserve">7.  Test and Commissioning Sign-off</w:t>
      </w:r>
    </w:p>
    <w:p>
      <w:pPr>
        <w:spacing w:after="120" w:before="0" w:line="276"/>
      </w:pPr>
      <w:r>
        <w:rPr>
          <w:rFonts w:ascii="Avenir Next LT Pro" w:cs="Avenir Next LT Pro" w:eastAsia="Avenir Next LT Pro" w:hAnsi="Avenir Next LT Pro"/>
          <w:color w:val="1A1A1A"/>
          <w:sz w:val="20"/>
          <w:szCs w:val="20"/>
        </w:rPr>
        <w:t xml:space="preserve">Every unit must pass all checks. A unit with any unchecked item is not releasable.</w:t>
      </w:r>
    </w:p>
    <w:p>
      <w:pPr>
        <w:pStyle w:val="Heading2"/>
        <w:keepNext/>
        <w:keepLines/>
        <w:spacing w:after="120" w:before="280"/>
      </w:pPr>
      <w:r>
        <w:rPr>
          <w:rFonts w:ascii="Avenir Next LT Pro" w:cs="Avenir Next LT Pro" w:eastAsia="Avenir Next LT Pro" w:hAnsi="Avenir Next LT Pro"/>
          <w:b/>
          <w:bCs/>
          <w:color w:val="1A1A1A"/>
          <w:sz w:val="23"/>
          <w:szCs w:val="23"/>
        </w:rPr>
        <w:t xml:space="preserve">7.1  Electrical safety</w:t>
      </w:r>
    </w:p>
    <w:tbl>
      <w:tblPr>
        <w:tblW w:type="dxa" w:w="9746"/>
        <w:tblBorders>
          <w:top w:val="single" w:color="BFBBB4" w:sz="4"/>
          <w:left w:val="single" w:color="BFBBB4" w:sz="4"/>
          <w:bottom w:val="single" w:color="BFBBB4" w:sz="4"/>
          <w:right w:val="single" w:color="BFBBB4" w:sz="4"/>
          <w:insideH w:val="single" w:color="BFBBB4" w:sz="2"/>
          <w:insideV w:val="single" w:color="BFBBB4" w:sz="2"/>
        </w:tblBorders>
      </w:tblPr>
      <w:tblGrid>
        <w:gridCol w:w="767"/>
        <w:gridCol w:w="6570"/>
        <w:gridCol w:w="2409"/>
      </w:tblGrid>
      <w:tr>
        <w:trPr>
          <w:cantSplit/>
          <w:tblHeader/>
        </w:trPr>
        <w:tc>
          <w:tcPr>
            <w:tcW w:type="dxa" w:w="767"/>
            <w:shd w:fill="E8E6E1" w:color="auto" w:val="clear"/>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bCs/>
                <w:color w:val="1A1A1A"/>
                <w:sz w:val="18"/>
                <w:szCs w:val="18"/>
              </w:rPr>
              <w:t xml:space="preserve"/>
            </w:r>
          </w:p>
        </w:tc>
        <w:tc>
          <w:tcPr>
            <w:tcW w:type="dxa" w:w="6570"/>
            <w:shd w:fill="E8E6E1" w:color="auto" w:val="clear"/>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bCs/>
                <w:color w:val="1A1A1A"/>
                <w:sz w:val="18"/>
                <w:szCs w:val="18"/>
              </w:rPr>
              <w:t xml:space="preserve">Check</w:t>
            </w:r>
          </w:p>
        </w:tc>
        <w:tc>
          <w:tcPr>
            <w:tcW w:type="dxa" w:w="2409"/>
            <w:shd w:fill="E8E6E1" w:color="auto" w:val="clear"/>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bCs/>
                <w:color w:val="1A1A1A"/>
                <w:sz w:val="18"/>
                <w:szCs w:val="18"/>
              </w:rPr>
              <w:t xml:space="preserve">Result / initials</w:t>
            </w:r>
          </w:p>
        </w:tc>
      </w:tr>
      <w:tr>
        <w:trPr>
          <w:cantSplit/>
          <w:tblHeader w:val="false"/>
        </w:trPr>
        <w:tc>
          <w:tcPr>
            <w:tcW w:type="dxa" w:w="767"/>
            <w:tcMar>
              <w:top w:type="dxa" w:w="70"/>
              <w:left w:type="dxa" w:w="100"/>
              <w:bottom w:type="dxa" w:w="70"/>
              <w:right w:type="dxa" w:w="100"/>
            </w:tcMar>
            <w:vAlign w:val="center"/>
          </w:tcPr>
          <w:p>
            <w:pPr>
              <w:spacing w:after="0" w:line="252"/>
              <w:jc w:val="center"/>
            </w:pPr>
            <w:r>
              <w:rPr>
                <w:rFonts w:ascii="Avenir Next LT Pro" w:cs="Avenir Next LT Pro" w:eastAsia="Avenir Next LT Pro" w:hAnsi="Avenir Next LT Pro"/>
                <w:b w:val="false"/>
                <w:bCs w:val="false"/>
                <w:color w:val="1A1A1A"/>
                <w:sz w:val="18"/>
                <w:szCs w:val="18"/>
              </w:rPr>
              <w:t xml:space="preserve">☐</w:t>
            </w:r>
          </w:p>
        </w:tc>
        <w:tc>
          <w:tcPr>
            <w:tcW w:type="dxa" w:w="6570"/>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1A1A1A"/>
                <w:sz w:val="18"/>
                <w:szCs w:val="18"/>
              </w:rPr>
              <w:t xml:space="preserve">Earth continuity from the mains inlet earth conductor to the PSU earth terminal</w:t>
            </w:r>
          </w:p>
        </w:tc>
        <w:tc>
          <w:tcPr>
            <w:tcW w:type="dxa" w:w="2409"/>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1A1A1A"/>
                <w:sz w:val="18"/>
                <w:szCs w:val="18"/>
              </w:rPr>
              <w:t xml:space="preserve"/>
            </w:r>
          </w:p>
        </w:tc>
      </w:tr>
      <w:tr>
        <w:trPr>
          <w:cantSplit/>
          <w:tblHeader w:val="false"/>
        </w:trPr>
        <w:tc>
          <w:tcPr>
            <w:tcW w:type="dxa" w:w="767"/>
            <w:tcMar>
              <w:top w:type="dxa" w:w="70"/>
              <w:left w:type="dxa" w:w="100"/>
              <w:bottom w:type="dxa" w:w="70"/>
              <w:right w:type="dxa" w:w="100"/>
            </w:tcMar>
            <w:vAlign w:val="center"/>
          </w:tcPr>
          <w:p>
            <w:pPr>
              <w:spacing w:after="0" w:line="252"/>
              <w:jc w:val="center"/>
            </w:pPr>
            <w:r>
              <w:rPr>
                <w:rFonts w:ascii="Avenir Next LT Pro" w:cs="Avenir Next LT Pro" w:eastAsia="Avenir Next LT Pro" w:hAnsi="Avenir Next LT Pro"/>
                <w:b w:val="false"/>
                <w:bCs w:val="false"/>
                <w:color w:val="1A1A1A"/>
                <w:sz w:val="18"/>
                <w:szCs w:val="18"/>
              </w:rPr>
              <w:t xml:space="preserve">☐</w:t>
            </w:r>
          </w:p>
        </w:tc>
        <w:tc>
          <w:tcPr>
            <w:tcW w:type="dxa" w:w="6570"/>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1A1A1A"/>
                <w:sz w:val="18"/>
                <w:szCs w:val="18"/>
              </w:rPr>
              <w:t xml:space="preserve">No exposed mains conductor with psu_cover.stl fitted</w:t>
            </w:r>
          </w:p>
        </w:tc>
        <w:tc>
          <w:tcPr>
            <w:tcW w:type="dxa" w:w="2409"/>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1A1A1A"/>
                <w:sz w:val="18"/>
                <w:szCs w:val="18"/>
              </w:rPr>
              <w:t xml:space="preserve"/>
            </w:r>
          </w:p>
        </w:tc>
      </w:tr>
      <w:tr>
        <w:trPr>
          <w:cantSplit/>
          <w:tblHeader w:val="false"/>
        </w:trPr>
        <w:tc>
          <w:tcPr>
            <w:tcW w:type="dxa" w:w="767"/>
            <w:tcMar>
              <w:top w:type="dxa" w:w="70"/>
              <w:left w:type="dxa" w:w="100"/>
              <w:bottom w:type="dxa" w:w="70"/>
              <w:right w:type="dxa" w:w="100"/>
            </w:tcMar>
            <w:vAlign w:val="center"/>
          </w:tcPr>
          <w:p>
            <w:pPr>
              <w:spacing w:after="0" w:line="252"/>
              <w:jc w:val="center"/>
            </w:pPr>
            <w:r>
              <w:rPr>
                <w:rFonts w:ascii="Avenir Next LT Pro" w:cs="Avenir Next LT Pro" w:eastAsia="Avenir Next LT Pro" w:hAnsi="Avenir Next LT Pro"/>
                <w:b w:val="false"/>
                <w:bCs w:val="false"/>
                <w:color w:val="1A1A1A"/>
                <w:sz w:val="18"/>
                <w:szCs w:val="18"/>
              </w:rPr>
              <w:t xml:space="preserve">☐</w:t>
            </w:r>
          </w:p>
        </w:tc>
        <w:tc>
          <w:tcPr>
            <w:tcW w:type="dxa" w:w="6570"/>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1A1A1A"/>
                <w:sz w:val="18"/>
                <w:szCs w:val="18"/>
              </w:rPr>
              <w:t xml:space="preserve">Gland tightened; cable will not pull out under hand load</w:t>
            </w:r>
          </w:p>
        </w:tc>
        <w:tc>
          <w:tcPr>
            <w:tcW w:type="dxa" w:w="2409"/>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1A1A1A"/>
                <w:sz w:val="18"/>
                <w:szCs w:val="18"/>
              </w:rPr>
              <w:t xml:space="preserve"/>
            </w:r>
          </w:p>
        </w:tc>
      </w:tr>
    </w:tbl>
    <w:p>
      <w:pPr>
        <w:pStyle w:val="Heading2"/>
        <w:keepNext/>
        <w:keepLines/>
        <w:spacing w:after="120" w:before="280"/>
      </w:pPr>
      <w:r>
        <w:rPr>
          <w:rFonts w:ascii="Avenir Next LT Pro" w:cs="Avenir Next LT Pro" w:eastAsia="Avenir Next LT Pro" w:hAnsi="Avenir Next LT Pro"/>
          <w:b/>
          <w:bCs/>
          <w:color w:val="1A1A1A"/>
          <w:sz w:val="23"/>
          <w:szCs w:val="23"/>
        </w:rPr>
        <w:t xml:space="preserve">7.2  Power</w:t>
      </w:r>
    </w:p>
    <w:tbl>
      <w:tblPr>
        <w:tblW w:type="dxa" w:w="9746"/>
        <w:tblBorders>
          <w:top w:val="single" w:color="BFBBB4" w:sz="4"/>
          <w:left w:val="single" w:color="BFBBB4" w:sz="4"/>
          <w:bottom w:val="single" w:color="BFBBB4" w:sz="4"/>
          <w:right w:val="single" w:color="BFBBB4" w:sz="4"/>
          <w:insideH w:val="single" w:color="BFBBB4" w:sz="2"/>
          <w:insideV w:val="single" w:color="BFBBB4" w:sz="2"/>
        </w:tblBorders>
      </w:tblPr>
      <w:tblGrid>
        <w:gridCol w:w="767"/>
        <w:gridCol w:w="6570"/>
        <w:gridCol w:w="2409"/>
      </w:tblGrid>
      <w:tr>
        <w:trPr>
          <w:cantSplit/>
          <w:tblHeader/>
        </w:trPr>
        <w:tc>
          <w:tcPr>
            <w:tcW w:type="dxa" w:w="767"/>
            <w:shd w:fill="E8E6E1" w:color="auto" w:val="clear"/>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bCs/>
                <w:color w:val="1A1A1A"/>
                <w:sz w:val="18"/>
                <w:szCs w:val="18"/>
              </w:rPr>
              <w:t xml:space="preserve"/>
            </w:r>
          </w:p>
        </w:tc>
        <w:tc>
          <w:tcPr>
            <w:tcW w:type="dxa" w:w="6570"/>
            <w:shd w:fill="E8E6E1" w:color="auto" w:val="clear"/>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bCs/>
                <w:color w:val="1A1A1A"/>
                <w:sz w:val="18"/>
                <w:szCs w:val="18"/>
              </w:rPr>
              <w:t xml:space="preserve">Check</w:t>
            </w:r>
          </w:p>
        </w:tc>
        <w:tc>
          <w:tcPr>
            <w:tcW w:type="dxa" w:w="2409"/>
            <w:shd w:fill="E8E6E1" w:color="auto" w:val="clear"/>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bCs/>
                <w:color w:val="1A1A1A"/>
                <w:sz w:val="18"/>
                <w:szCs w:val="18"/>
              </w:rPr>
              <w:t xml:space="preserve">Result / initials</w:t>
            </w:r>
          </w:p>
        </w:tc>
      </w:tr>
      <w:tr>
        <w:trPr>
          <w:cantSplit/>
          <w:tblHeader w:val="false"/>
        </w:trPr>
        <w:tc>
          <w:tcPr>
            <w:tcW w:type="dxa" w:w="767"/>
            <w:tcMar>
              <w:top w:type="dxa" w:w="70"/>
              <w:left w:type="dxa" w:w="100"/>
              <w:bottom w:type="dxa" w:w="70"/>
              <w:right w:type="dxa" w:w="100"/>
            </w:tcMar>
            <w:vAlign w:val="center"/>
          </w:tcPr>
          <w:p>
            <w:pPr>
              <w:spacing w:after="0" w:line="252"/>
              <w:jc w:val="center"/>
            </w:pPr>
            <w:r>
              <w:rPr>
                <w:rFonts w:ascii="Avenir Next LT Pro" w:cs="Avenir Next LT Pro" w:eastAsia="Avenir Next LT Pro" w:hAnsi="Avenir Next LT Pro"/>
                <w:b w:val="false"/>
                <w:bCs w:val="false"/>
                <w:color w:val="1A1A1A"/>
                <w:sz w:val="18"/>
                <w:szCs w:val="18"/>
              </w:rPr>
              <w:t xml:space="preserve">☐</w:t>
            </w:r>
          </w:p>
        </w:tc>
        <w:tc>
          <w:tcPr>
            <w:tcW w:type="dxa" w:w="6570"/>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1A1A1A"/>
                <w:sz w:val="18"/>
                <w:szCs w:val="18"/>
              </w:rPr>
              <w:t xml:space="preserve">12 V rail measured at the PCB input terminal — record value</w:t>
            </w:r>
          </w:p>
        </w:tc>
        <w:tc>
          <w:tcPr>
            <w:tcW w:type="dxa" w:w="2409"/>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1A1A1A"/>
                <w:sz w:val="18"/>
                <w:szCs w:val="18"/>
              </w:rPr>
              <w:t xml:space="preserve"/>
            </w:r>
          </w:p>
        </w:tc>
      </w:tr>
      <w:tr>
        <w:trPr>
          <w:cantSplit/>
          <w:tblHeader w:val="false"/>
        </w:trPr>
        <w:tc>
          <w:tcPr>
            <w:tcW w:type="dxa" w:w="767"/>
            <w:tcMar>
              <w:top w:type="dxa" w:w="70"/>
              <w:left w:type="dxa" w:w="100"/>
              <w:bottom w:type="dxa" w:w="70"/>
              <w:right w:type="dxa" w:w="100"/>
            </w:tcMar>
            <w:vAlign w:val="center"/>
          </w:tcPr>
          <w:p>
            <w:pPr>
              <w:spacing w:after="0" w:line="252"/>
              <w:jc w:val="center"/>
            </w:pPr>
            <w:r>
              <w:rPr>
                <w:rFonts w:ascii="Avenir Next LT Pro" w:cs="Avenir Next LT Pro" w:eastAsia="Avenir Next LT Pro" w:hAnsi="Avenir Next LT Pro"/>
                <w:b w:val="false"/>
                <w:bCs w:val="false"/>
                <w:color w:val="1A1A1A"/>
                <w:sz w:val="18"/>
                <w:szCs w:val="18"/>
              </w:rPr>
              <w:t xml:space="preserve">☐</w:t>
            </w:r>
          </w:p>
        </w:tc>
        <w:tc>
          <w:tcPr>
            <w:tcW w:type="dxa" w:w="6570"/>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1A1A1A"/>
                <w:sz w:val="18"/>
                <w:szCs w:val="18"/>
              </w:rPr>
              <w:t xml:space="preserve">5 V rail measured at the DC-DC output — record value</w:t>
            </w:r>
          </w:p>
        </w:tc>
        <w:tc>
          <w:tcPr>
            <w:tcW w:type="dxa" w:w="2409"/>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1A1A1A"/>
                <w:sz w:val="18"/>
                <w:szCs w:val="18"/>
              </w:rPr>
              <w:t xml:space="preserve"/>
            </w:r>
          </w:p>
        </w:tc>
      </w:tr>
      <w:tr>
        <w:trPr>
          <w:cantSplit/>
          <w:tblHeader w:val="false"/>
        </w:trPr>
        <w:tc>
          <w:tcPr>
            <w:tcW w:type="dxa" w:w="767"/>
            <w:tcMar>
              <w:top w:type="dxa" w:w="70"/>
              <w:left w:type="dxa" w:w="100"/>
              <w:bottom w:type="dxa" w:w="70"/>
              <w:right w:type="dxa" w:w="100"/>
            </w:tcMar>
            <w:vAlign w:val="center"/>
          </w:tcPr>
          <w:p>
            <w:pPr>
              <w:spacing w:after="0" w:line="252"/>
              <w:jc w:val="center"/>
            </w:pPr>
            <w:r>
              <w:rPr>
                <w:rFonts w:ascii="Avenir Next LT Pro" w:cs="Avenir Next LT Pro" w:eastAsia="Avenir Next LT Pro" w:hAnsi="Avenir Next LT Pro"/>
                <w:b w:val="false"/>
                <w:bCs w:val="false"/>
                <w:color w:val="1A1A1A"/>
                <w:sz w:val="18"/>
                <w:szCs w:val="18"/>
              </w:rPr>
              <w:t xml:space="preserve">☐</w:t>
            </w:r>
          </w:p>
        </w:tc>
        <w:tc>
          <w:tcPr>
            <w:tcW w:type="dxa" w:w="6570"/>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1A1A1A"/>
                <w:sz w:val="18"/>
                <w:szCs w:val="18"/>
              </w:rPr>
              <w:t xml:space="preserve">3.3 V rail present at the ESP32 module</w:t>
            </w:r>
          </w:p>
        </w:tc>
        <w:tc>
          <w:tcPr>
            <w:tcW w:type="dxa" w:w="2409"/>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1A1A1A"/>
                <w:sz w:val="18"/>
                <w:szCs w:val="18"/>
              </w:rPr>
              <w:t xml:space="preserve"/>
            </w:r>
          </w:p>
        </w:tc>
      </w:tr>
      <w:tr>
        <w:trPr>
          <w:cantSplit/>
          <w:tblHeader w:val="false"/>
        </w:trPr>
        <w:tc>
          <w:tcPr>
            <w:tcW w:type="dxa" w:w="767"/>
            <w:tcMar>
              <w:top w:type="dxa" w:w="70"/>
              <w:left w:type="dxa" w:w="100"/>
              <w:bottom w:type="dxa" w:w="70"/>
              <w:right w:type="dxa" w:w="100"/>
            </w:tcMar>
            <w:vAlign w:val="center"/>
          </w:tcPr>
          <w:p>
            <w:pPr>
              <w:spacing w:after="0" w:line="252"/>
              <w:jc w:val="center"/>
            </w:pPr>
            <w:r>
              <w:rPr>
                <w:rFonts w:ascii="Avenir Next LT Pro" w:cs="Avenir Next LT Pro" w:eastAsia="Avenir Next LT Pro" w:hAnsi="Avenir Next LT Pro"/>
                <w:b w:val="false"/>
                <w:bCs w:val="false"/>
                <w:color w:val="1A1A1A"/>
                <w:sz w:val="18"/>
                <w:szCs w:val="18"/>
              </w:rPr>
              <w:t xml:space="preserve">☐</w:t>
            </w:r>
          </w:p>
        </w:tc>
        <w:tc>
          <w:tcPr>
            <w:tcW w:type="dxa" w:w="6570"/>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1A1A1A"/>
                <w:sz w:val="18"/>
                <w:szCs w:val="18"/>
              </w:rPr>
              <w:t xml:space="preserve">Rails hold during Wi-Fi transmit — no reset or AP dropout at power-up</w:t>
            </w:r>
          </w:p>
        </w:tc>
        <w:tc>
          <w:tcPr>
            <w:tcW w:type="dxa" w:w="2409"/>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1A1A1A"/>
                <w:sz w:val="18"/>
                <w:szCs w:val="18"/>
              </w:rPr>
              <w:t xml:space="preserve"/>
            </w:r>
          </w:p>
        </w:tc>
      </w:tr>
    </w:tbl>
    <w:p>
      <w:pPr>
        <w:pStyle w:val="Heading2"/>
        <w:keepNext/>
        <w:keepLines/>
        <w:spacing w:after="120" w:before="280"/>
      </w:pPr>
      <w:r>
        <w:rPr>
          <w:rFonts w:ascii="Avenir Next LT Pro" w:cs="Avenir Next LT Pro" w:eastAsia="Avenir Next LT Pro" w:hAnsi="Avenir Next LT Pro"/>
          <w:b/>
          <w:bCs/>
          <w:color w:val="1A1A1A"/>
          <w:sz w:val="23"/>
          <w:szCs w:val="23"/>
        </w:rPr>
        <w:t xml:space="preserve">7.3  Firmware and connectivity</w:t>
      </w:r>
    </w:p>
    <w:tbl>
      <w:tblPr>
        <w:tblW w:type="dxa" w:w="9746"/>
        <w:tblBorders>
          <w:top w:val="single" w:color="BFBBB4" w:sz="4"/>
          <w:left w:val="single" w:color="BFBBB4" w:sz="4"/>
          <w:bottom w:val="single" w:color="BFBBB4" w:sz="4"/>
          <w:right w:val="single" w:color="BFBBB4" w:sz="4"/>
          <w:insideH w:val="single" w:color="BFBBB4" w:sz="2"/>
          <w:insideV w:val="single" w:color="BFBBB4" w:sz="2"/>
        </w:tblBorders>
      </w:tblPr>
      <w:tblGrid>
        <w:gridCol w:w="767"/>
        <w:gridCol w:w="6570"/>
        <w:gridCol w:w="2409"/>
      </w:tblGrid>
      <w:tr>
        <w:trPr>
          <w:cantSplit/>
          <w:tblHeader/>
        </w:trPr>
        <w:tc>
          <w:tcPr>
            <w:tcW w:type="dxa" w:w="767"/>
            <w:shd w:fill="E8E6E1" w:color="auto" w:val="clear"/>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bCs/>
                <w:color w:val="1A1A1A"/>
                <w:sz w:val="18"/>
                <w:szCs w:val="18"/>
              </w:rPr>
              <w:t xml:space="preserve"/>
            </w:r>
          </w:p>
        </w:tc>
        <w:tc>
          <w:tcPr>
            <w:tcW w:type="dxa" w:w="6570"/>
            <w:shd w:fill="E8E6E1" w:color="auto" w:val="clear"/>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bCs/>
                <w:color w:val="1A1A1A"/>
                <w:sz w:val="18"/>
                <w:szCs w:val="18"/>
              </w:rPr>
              <w:t xml:space="preserve">Check</w:t>
            </w:r>
          </w:p>
        </w:tc>
        <w:tc>
          <w:tcPr>
            <w:tcW w:type="dxa" w:w="2409"/>
            <w:shd w:fill="E8E6E1" w:color="auto" w:val="clear"/>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bCs/>
                <w:color w:val="1A1A1A"/>
                <w:sz w:val="18"/>
                <w:szCs w:val="18"/>
              </w:rPr>
              <w:t xml:space="preserve">Result / initials</w:t>
            </w:r>
          </w:p>
        </w:tc>
      </w:tr>
      <w:tr>
        <w:trPr>
          <w:cantSplit/>
          <w:tblHeader w:val="false"/>
        </w:trPr>
        <w:tc>
          <w:tcPr>
            <w:tcW w:type="dxa" w:w="767"/>
            <w:tcMar>
              <w:top w:type="dxa" w:w="70"/>
              <w:left w:type="dxa" w:w="100"/>
              <w:bottom w:type="dxa" w:w="70"/>
              <w:right w:type="dxa" w:w="100"/>
            </w:tcMar>
            <w:vAlign w:val="center"/>
          </w:tcPr>
          <w:p>
            <w:pPr>
              <w:spacing w:after="0" w:line="252"/>
              <w:jc w:val="center"/>
            </w:pPr>
            <w:r>
              <w:rPr>
                <w:rFonts w:ascii="Avenir Next LT Pro" w:cs="Avenir Next LT Pro" w:eastAsia="Avenir Next LT Pro" w:hAnsi="Avenir Next LT Pro"/>
                <w:b w:val="false"/>
                <w:bCs w:val="false"/>
                <w:color w:val="1A1A1A"/>
                <w:sz w:val="18"/>
                <w:szCs w:val="18"/>
              </w:rPr>
              <w:t xml:space="preserve">☐</w:t>
            </w:r>
          </w:p>
        </w:tc>
        <w:tc>
          <w:tcPr>
            <w:tcW w:type="dxa" w:w="6570"/>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1A1A1A"/>
                <w:sz w:val="18"/>
                <w:szCs w:val="18"/>
              </w:rPr>
              <w:t xml:space="preserve">Setup AP "VibScope-&lt;serial&gt;" visible from at least 5 m with the enclosure closed</w:t>
            </w:r>
          </w:p>
        </w:tc>
        <w:tc>
          <w:tcPr>
            <w:tcW w:type="dxa" w:w="2409"/>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1A1A1A"/>
                <w:sz w:val="18"/>
                <w:szCs w:val="18"/>
              </w:rPr>
              <w:t xml:space="preserve"/>
            </w:r>
          </w:p>
        </w:tc>
      </w:tr>
      <w:tr>
        <w:trPr>
          <w:cantSplit/>
          <w:tblHeader w:val="false"/>
        </w:trPr>
        <w:tc>
          <w:tcPr>
            <w:tcW w:type="dxa" w:w="767"/>
            <w:tcMar>
              <w:top w:type="dxa" w:w="70"/>
              <w:left w:type="dxa" w:w="100"/>
              <w:bottom w:type="dxa" w:w="70"/>
              <w:right w:type="dxa" w:w="100"/>
            </w:tcMar>
            <w:vAlign w:val="center"/>
          </w:tcPr>
          <w:p>
            <w:pPr>
              <w:spacing w:after="0" w:line="252"/>
              <w:jc w:val="center"/>
            </w:pPr>
            <w:r>
              <w:rPr>
                <w:rFonts w:ascii="Avenir Next LT Pro" w:cs="Avenir Next LT Pro" w:eastAsia="Avenir Next LT Pro" w:hAnsi="Avenir Next LT Pro"/>
                <w:b w:val="false"/>
                <w:bCs w:val="false"/>
                <w:color w:val="1A1A1A"/>
                <w:sz w:val="18"/>
                <w:szCs w:val="18"/>
              </w:rPr>
              <w:t xml:space="preserve">☐</w:t>
            </w:r>
          </w:p>
        </w:tc>
        <w:tc>
          <w:tcPr>
            <w:tcW w:type="dxa" w:w="6570"/>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1A1A1A"/>
                <w:sz w:val="18"/>
                <w:szCs w:val="18"/>
              </w:rPr>
              <w:t xml:space="preserve">Setup portal reachable at http://192.168.1.4</w:t>
            </w:r>
          </w:p>
        </w:tc>
        <w:tc>
          <w:tcPr>
            <w:tcW w:type="dxa" w:w="2409"/>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1A1A1A"/>
                <w:sz w:val="18"/>
                <w:szCs w:val="18"/>
              </w:rPr>
              <w:t xml:space="preserve"/>
            </w:r>
          </w:p>
        </w:tc>
      </w:tr>
      <w:tr>
        <w:trPr>
          <w:cantSplit/>
          <w:tblHeader w:val="false"/>
        </w:trPr>
        <w:tc>
          <w:tcPr>
            <w:tcW w:type="dxa" w:w="767"/>
            <w:tcMar>
              <w:top w:type="dxa" w:w="70"/>
              <w:left w:type="dxa" w:w="100"/>
              <w:bottom w:type="dxa" w:w="70"/>
              <w:right w:type="dxa" w:w="100"/>
            </w:tcMar>
            <w:vAlign w:val="center"/>
          </w:tcPr>
          <w:p>
            <w:pPr>
              <w:spacing w:after="0" w:line="252"/>
              <w:jc w:val="center"/>
            </w:pPr>
            <w:r>
              <w:rPr>
                <w:rFonts w:ascii="Avenir Next LT Pro" w:cs="Avenir Next LT Pro" w:eastAsia="Avenir Next LT Pro" w:hAnsi="Avenir Next LT Pro"/>
                <w:b w:val="false"/>
                <w:bCs w:val="false"/>
                <w:color w:val="1A1A1A"/>
                <w:sz w:val="18"/>
                <w:szCs w:val="18"/>
              </w:rPr>
              <w:t xml:space="preserve">☐</w:t>
            </w:r>
          </w:p>
        </w:tc>
        <w:tc>
          <w:tcPr>
            <w:tcW w:type="dxa" w:w="6570"/>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1A1A1A"/>
                <w:sz w:val="18"/>
                <w:szCs w:val="18"/>
              </w:rPr>
              <w:t xml:space="preserve">/status reports configStorageHealthy = true</w:t>
            </w:r>
          </w:p>
        </w:tc>
        <w:tc>
          <w:tcPr>
            <w:tcW w:type="dxa" w:w="2409"/>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1A1A1A"/>
                <w:sz w:val="18"/>
                <w:szCs w:val="18"/>
              </w:rPr>
              <w:t xml:space="preserve"/>
            </w:r>
          </w:p>
        </w:tc>
      </w:tr>
      <w:tr>
        <w:trPr>
          <w:cantSplit/>
          <w:tblHeader w:val="false"/>
        </w:trPr>
        <w:tc>
          <w:tcPr>
            <w:tcW w:type="dxa" w:w="767"/>
            <w:tcMar>
              <w:top w:type="dxa" w:w="70"/>
              <w:left w:type="dxa" w:w="100"/>
              <w:bottom w:type="dxa" w:w="70"/>
              <w:right w:type="dxa" w:w="100"/>
            </w:tcMar>
            <w:vAlign w:val="center"/>
          </w:tcPr>
          <w:p>
            <w:pPr>
              <w:spacing w:after="0" w:line="252"/>
              <w:jc w:val="center"/>
            </w:pPr>
            <w:r>
              <w:rPr>
                <w:rFonts w:ascii="Avenir Next LT Pro" w:cs="Avenir Next LT Pro" w:eastAsia="Avenir Next LT Pro" w:hAnsi="Avenir Next LT Pro"/>
                <w:b w:val="false"/>
                <w:bCs w:val="false"/>
                <w:color w:val="1A1A1A"/>
                <w:sz w:val="18"/>
                <w:szCs w:val="18"/>
              </w:rPr>
              <w:t xml:space="preserve">☐</w:t>
            </w:r>
          </w:p>
        </w:tc>
        <w:tc>
          <w:tcPr>
            <w:tcW w:type="dxa" w:w="6570"/>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1A1A1A"/>
                <w:sz w:val="18"/>
                <w:szCs w:val="18"/>
              </w:rPr>
              <w:t xml:space="preserve">/status reports watchdogActive = true</w:t>
            </w:r>
          </w:p>
        </w:tc>
        <w:tc>
          <w:tcPr>
            <w:tcW w:type="dxa" w:w="2409"/>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1A1A1A"/>
                <w:sz w:val="18"/>
                <w:szCs w:val="18"/>
              </w:rPr>
              <w:t xml:space="preserve"/>
            </w:r>
          </w:p>
        </w:tc>
      </w:tr>
      <w:tr>
        <w:trPr>
          <w:cantSplit/>
          <w:tblHeader w:val="false"/>
        </w:trPr>
        <w:tc>
          <w:tcPr>
            <w:tcW w:type="dxa" w:w="767"/>
            <w:tcMar>
              <w:top w:type="dxa" w:w="70"/>
              <w:left w:type="dxa" w:w="100"/>
              <w:bottom w:type="dxa" w:w="70"/>
              <w:right w:type="dxa" w:w="100"/>
            </w:tcMar>
            <w:vAlign w:val="center"/>
          </w:tcPr>
          <w:p>
            <w:pPr>
              <w:spacing w:after="0" w:line="252"/>
              <w:jc w:val="center"/>
            </w:pPr>
            <w:r>
              <w:rPr>
                <w:rFonts w:ascii="Avenir Next LT Pro" w:cs="Avenir Next LT Pro" w:eastAsia="Avenir Next LT Pro" w:hAnsi="Avenir Next LT Pro"/>
                <w:b w:val="false"/>
                <w:bCs w:val="false"/>
                <w:color w:val="1A1A1A"/>
                <w:sz w:val="18"/>
                <w:szCs w:val="18"/>
              </w:rPr>
              <w:t xml:space="preserve">☐</w:t>
            </w:r>
          </w:p>
        </w:tc>
        <w:tc>
          <w:tcPr>
            <w:tcW w:type="dxa" w:w="6570"/>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1A1A1A"/>
                <w:sz w:val="18"/>
                <w:szCs w:val="18"/>
              </w:rPr>
              <w:t xml:space="preserve">/status reports mqttBufferReady = true</w:t>
            </w:r>
          </w:p>
        </w:tc>
        <w:tc>
          <w:tcPr>
            <w:tcW w:type="dxa" w:w="2409"/>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1A1A1A"/>
                <w:sz w:val="18"/>
                <w:szCs w:val="18"/>
              </w:rPr>
              <w:t xml:space="preserve"/>
            </w:r>
          </w:p>
        </w:tc>
      </w:tr>
      <w:tr>
        <w:trPr>
          <w:cantSplit/>
          <w:tblHeader w:val="false"/>
        </w:trPr>
        <w:tc>
          <w:tcPr>
            <w:tcW w:type="dxa" w:w="767"/>
            <w:tcMar>
              <w:top w:type="dxa" w:w="70"/>
              <w:left w:type="dxa" w:w="100"/>
              <w:bottom w:type="dxa" w:w="70"/>
              <w:right w:type="dxa" w:w="100"/>
            </w:tcMar>
            <w:vAlign w:val="center"/>
          </w:tcPr>
          <w:p>
            <w:pPr>
              <w:spacing w:after="0" w:line="252"/>
              <w:jc w:val="center"/>
            </w:pPr>
            <w:r>
              <w:rPr>
                <w:rFonts w:ascii="Avenir Next LT Pro" w:cs="Avenir Next LT Pro" w:eastAsia="Avenir Next LT Pro" w:hAnsi="Avenir Next LT Pro"/>
                <w:b w:val="false"/>
                <w:bCs w:val="false"/>
                <w:color w:val="1A1A1A"/>
                <w:sz w:val="18"/>
                <w:szCs w:val="18"/>
              </w:rPr>
              <w:t xml:space="preserve">☐</w:t>
            </w:r>
          </w:p>
        </w:tc>
        <w:tc>
          <w:tcPr>
            <w:tcW w:type="dxa" w:w="6570"/>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1A1A1A"/>
                <w:sz w:val="18"/>
                <w:szCs w:val="18"/>
              </w:rPr>
              <w:t xml:space="preserve">/status reports telemetryMemoryHealthy = true</w:t>
            </w:r>
          </w:p>
        </w:tc>
        <w:tc>
          <w:tcPr>
            <w:tcW w:type="dxa" w:w="2409"/>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1A1A1A"/>
                <w:sz w:val="18"/>
                <w:szCs w:val="18"/>
              </w:rPr>
              <w:t xml:space="preserve"/>
            </w:r>
          </w:p>
        </w:tc>
      </w:tr>
      <w:tr>
        <w:trPr>
          <w:cantSplit/>
          <w:tblHeader w:val="false"/>
        </w:trPr>
        <w:tc>
          <w:tcPr>
            <w:tcW w:type="dxa" w:w="767"/>
            <w:tcMar>
              <w:top w:type="dxa" w:w="70"/>
              <w:left w:type="dxa" w:w="100"/>
              <w:bottom w:type="dxa" w:w="70"/>
              <w:right w:type="dxa" w:w="100"/>
            </w:tcMar>
            <w:vAlign w:val="center"/>
          </w:tcPr>
          <w:p>
            <w:pPr>
              <w:spacing w:after="0" w:line="252"/>
              <w:jc w:val="center"/>
            </w:pPr>
            <w:r>
              <w:rPr>
                <w:rFonts w:ascii="Avenir Next LT Pro" w:cs="Avenir Next LT Pro" w:eastAsia="Avenir Next LT Pro" w:hAnsi="Avenir Next LT Pro"/>
                <w:b w:val="false"/>
                <w:bCs w:val="false"/>
                <w:color w:val="1A1A1A"/>
                <w:sz w:val="18"/>
                <w:szCs w:val="18"/>
              </w:rPr>
              <w:t xml:space="preserve">☐</w:t>
            </w:r>
          </w:p>
        </w:tc>
        <w:tc>
          <w:tcPr>
            <w:tcW w:type="dxa" w:w="6570"/>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1A1A1A"/>
                <w:sz w:val="18"/>
                <w:szCs w:val="18"/>
              </w:rPr>
              <w:t xml:space="preserve">AP password changed from the serial default and recorded in the build record</w:t>
            </w:r>
          </w:p>
        </w:tc>
        <w:tc>
          <w:tcPr>
            <w:tcW w:type="dxa" w:w="2409"/>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1A1A1A"/>
                <w:sz w:val="18"/>
                <w:szCs w:val="18"/>
              </w:rPr>
              <w:t xml:space="preserve"/>
            </w:r>
          </w:p>
        </w:tc>
      </w:tr>
    </w:tbl>
    <w:p>
      <w:pPr>
        <w:pStyle w:val="Heading2"/>
        <w:keepNext/>
        <w:keepLines/>
        <w:spacing w:after="120" w:before="280"/>
      </w:pPr>
      <w:r>
        <w:rPr>
          <w:rFonts w:ascii="Avenir Next LT Pro" w:cs="Avenir Next LT Pro" w:eastAsia="Avenir Next LT Pro" w:hAnsi="Avenir Next LT Pro"/>
          <w:b/>
          <w:bCs/>
          <w:color w:val="1A1A1A"/>
          <w:sz w:val="23"/>
          <w:szCs w:val="23"/>
        </w:rPr>
        <w:t xml:space="preserve">7.4  Sensor and telemetry</w:t>
      </w:r>
    </w:p>
    <w:tbl>
      <w:tblPr>
        <w:tblW w:type="dxa" w:w="9746"/>
        <w:tblBorders>
          <w:top w:val="single" w:color="BFBBB4" w:sz="4"/>
          <w:left w:val="single" w:color="BFBBB4" w:sz="4"/>
          <w:bottom w:val="single" w:color="BFBBB4" w:sz="4"/>
          <w:right w:val="single" w:color="BFBBB4" w:sz="4"/>
          <w:insideH w:val="single" w:color="BFBBB4" w:sz="2"/>
          <w:insideV w:val="single" w:color="BFBBB4" w:sz="2"/>
        </w:tblBorders>
      </w:tblPr>
      <w:tblGrid>
        <w:gridCol w:w="767"/>
        <w:gridCol w:w="6570"/>
        <w:gridCol w:w="2409"/>
      </w:tblGrid>
      <w:tr>
        <w:trPr>
          <w:cantSplit/>
          <w:tblHeader/>
        </w:trPr>
        <w:tc>
          <w:tcPr>
            <w:tcW w:type="dxa" w:w="767"/>
            <w:shd w:fill="E8E6E1" w:color="auto" w:val="clear"/>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bCs/>
                <w:color w:val="1A1A1A"/>
                <w:sz w:val="18"/>
                <w:szCs w:val="18"/>
              </w:rPr>
              <w:t xml:space="preserve"/>
            </w:r>
          </w:p>
        </w:tc>
        <w:tc>
          <w:tcPr>
            <w:tcW w:type="dxa" w:w="6570"/>
            <w:shd w:fill="E8E6E1" w:color="auto" w:val="clear"/>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bCs/>
                <w:color w:val="1A1A1A"/>
                <w:sz w:val="18"/>
                <w:szCs w:val="18"/>
              </w:rPr>
              <w:t xml:space="preserve">Check</w:t>
            </w:r>
          </w:p>
        </w:tc>
        <w:tc>
          <w:tcPr>
            <w:tcW w:type="dxa" w:w="2409"/>
            <w:shd w:fill="E8E6E1" w:color="auto" w:val="clear"/>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bCs/>
                <w:color w:val="1A1A1A"/>
                <w:sz w:val="18"/>
                <w:szCs w:val="18"/>
              </w:rPr>
              <w:t xml:space="preserve">Result / initials</w:t>
            </w:r>
          </w:p>
        </w:tc>
      </w:tr>
      <w:tr>
        <w:trPr>
          <w:cantSplit/>
          <w:tblHeader w:val="false"/>
        </w:trPr>
        <w:tc>
          <w:tcPr>
            <w:tcW w:type="dxa" w:w="767"/>
            <w:tcMar>
              <w:top w:type="dxa" w:w="70"/>
              <w:left w:type="dxa" w:w="100"/>
              <w:bottom w:type="dxa" w:w="70"/>
              <w:right w:type="dxa" w:w="100"/>
            </w:tcMar>
            <w:vAlign w:val="center"/>
          </w:tcPr>
          <w:p>
            <w:pPr>
              <w:spacing w:after="0" w:line="252"/>
              <w:jc w:val="center"/>
            </w:pPr>
            <w:r>
              <w:rPr>
                <w:rFonts w:ascii="Avenir Next LT Pro" w:cs="Avenir Next LT Pro" w:eastAsia="Avenir Next LT Pro" w:hAnsi="Avenir Next LT Pro"/>
                <w:b w:val="false"/>
                <w:bCs w:val="false"/>
                <w:color w:val="1A1A1A"/>
                <w:sz w:val="18"/>
                <w:szCs w:val="18"/>
              </w:rPr>
              <w:t xml:space="preserve">☐</w:t>
            </w:r>
          </w:p>
        </w:tc>
        <w:tc>
          <w:tcPr>
            <w:tcW w:type="dxa" w:w="6570"/>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1A1A1A"/>
                <w:sz w:val="18"/>
                <w:szCs w:val="18"/>
              </w:rPr>
              <w:t xml:space="preserve">Sensor profile uploaded and accepted</w:t>
            </w:r>
          </w:p>
        </w:tc>
        <w:tc>
          <w:tcPr>
            <w:tcW w:type="dxa" w:w="2409"/>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1A1A1A"/>
                <w:sz w:val="18"/>
                <w:szCs w:val="18"/>
              </w:rPr>
              <w:t xml:space="preserve"/>
            </w:r>
          </w:p>
        </w:tc>
      </w:tr>
      <w:tr>
        <w:trPr>
          <w:cantSplit/>
          <w:tblHeader w:val="false"/>
        </w:trPr>
        <w:tc>
          <w:tcPr>
            <w:tcW w:type="dxa" w:w="767"/>
            <w:tcMar>
              <w:top w:type="dxa" w:w="70"/>
              <w:left w:type="dxa" w:w="100"/>
              <w:bottom w:type="dxa" w:w="70"/>
              <w:right w:type="dxa" w:w="100"/>
            </w:tcMar>
            <w:vAlign w:val="center"/>
          </w:tcPr>
          <w:p>
            <w:pPr>
              <w:spacing w:after="0" w:line="252"/>
              <w:jc w:val="center"/>
            </w:pPr>
            <w:r>
              <w:rPr>
                <w:rFonts w:ascii="Avenir Next LT Pro" w:cs="Avenir Next LT Pro" w:eastAsia="Avenir Next LT Pro" w:hAnsi="Avenir Next LT Pro"/>
                <w:b w:val="false"/>
                <w:bCs w:val="false"/>
                <w:color w:val="1A1A1A"/>
                <w:sz w:val="18"/>
                <w:szCs w:val="18"/>
              </w:rPr>
              <w:t xml:space="preserve">☐</w:t>
            </w:r>
          </w:p>
        </w:tc>
        <w:tc>
          <w:tcPr>
            <w:tcW w:type="dxa" w:w="6570"/>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1A1A1A"/>
                <w:sz w:val="18"/>
                <w:szCs w:val="18"/>
              </w:rPr>
              <w:t xml:space="preserve">Live readings present on all configured axes</w:t>
            </w:r>
          </w:p>
        </w:tc>
        <w:tc>
          <w:tcPr>
            <w:tcW w:type="dxa" w:w="2409"/>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1A1A1A"/>
                <w:sz w:val="18"/>
                <w:szCs w:val="18"/>
              </w:rPr>
              <w:t xml:space="preserve"/>
            </w:r>
          </w:p>
        </w:tc>
      </w:tr>
      <w:tr>
        <w:trPr>
          <w:cantSplit/>
          <w:tblHeader w:val="false"/>
        </w:trPr>
        <w:tc>
          <w:tcPr>
            <w:tcW w:type="dxa" w:w="767"/>
            <w:tcMar>
              <w:top w:type="dxa" w:w="70"/>
              <w:left w:type="dxa" w:w="100"/>
              <w:bottom w:type="dxa" w:w="70"/>
              <w:right w:type="dxa" w:w="100"/>
            </w:tcMar>
            <w:vAlign w:val="center"/>
          </w:tcPr>
          <w:p>
            <w:pPr>
              <w:spacing w:after="0" w:line="252"/>
              <w:jc w:val="center"/>
            </w:pPr>
            <w:r>
              <w:rPr>
                <w:rFonts w:ascii="Avenir Next LT Pro" w:cs="Avenir Next LT Pro" w:eastAsia="Avenir Next LT Pro" w:hAnsi="Avenir Next LT Pro"/>
                <w:b w:val="false"/>
                <w:bCs w:val="false"/>
                <w:color w:val="1A1A1A"/>
                <w:sz w:val="18"/>
                <w:szCs w:val="18"/>
              </w:rPr>
              <w:t xml:space="preserve">☐</w:t>
            </w:r>
          </w:p>
        </w:tc>
        <w:tc>
          <w:tcPr>
            <w:tcW w:type="dxa" w:w="6570"/>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1A1A1A"/>
                <w:sz w:val="18"/>
                <w:szCs w:val="18"/>
              </w:rPr>
              <w:t xml:space="preserve">Frequency values above 100 Hz where the profile supports it</w:t>
            </w:r>
          </w:p>
        </w:tc>
        <w:tc>
          <w:tcPr>
            <w:tcW w:type="dxa" w:w="2409"/>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1A1A1A"/>
                <w:sz w:val="18"/>
                <w:szCs w:val="18"/>
              </w:rPr>
              <w:t xml:space="preserve"/>
            </w:r>
          </w:p>
        </w:tc>
      </w:tr>
      <w:tr>
        <w:trPr>
          <w:cantSplit/>
          <w:tblHeader w:val="false"/>
        </w:trPr>
        <w:tc>
          <w:tcPr>
            <w:tcW w:type="dxa" w:w="767"/>
            <w:tcMar>
              <w:top w:type="dxa" w:w="70"/>
              <w:left w:type="dxa" w:w="100"/>
              <w:bottom w:type="dxa" w:w="70"/>
              <w:right w:type="dxa" w:w="100"/>
            </w:tcMar>
            <w:vAlign w:val="center"/>
          </w:tcPr>
          <w:p>
            <w:pPr>
              <w:spacing w:after="0" w:line="252"/>
              <w:jc w:val="center"/>
            </w:pPr>
            <w:r>
              <w:rPr>
                <w:rFonts w:ascii="Avenir Next LT Pro" w:cs="Avenir Next LT Pro" w:eastAsia="Avenir Next LT Pro" w:hAnsi="Avenir Next LT Pro"/>
                <w:b w:val="false"/>
                <w:bCs w:val="false"/>
                <w:color w:val="1A1A1A"/>
                <w:sz w:val="18"/>
                <w:szCs w:val="18"/>
              </w:rPr>
              <w:t xml:space="preserve">☐</w:t>
            </w:r>
          </w:p>
        </w:tc>
        <w:tc>
          <w:tcPr>
            <w:tcW w:type="dxa" w:w="6570"/>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1A1A1A"/>
                <w:sz w:val="18"/>
                <w:szCs w:val="18"/>
              </w:rPr>
              <w:t xml:space="preserve">Telemetry visible on the VibScope Server on topic sensors/&lt;deviceId&gt;/measurements</w:t>
            </w:r>
          </w:p>
        </w:tc>
        <w:tc>
          <w:tcPr>
            <w:tcW w:type="dxa" w:w="2409"/>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1A1A1A"/>
                <w:sz w:val="18"/>
                <w:szCs w:val="18"/>
              </w:rPr>
              <w:t xml:space="preserve"/>
            </w:r>
          </w:p>
        </w:tc>
      </w:tr>
      <w:tr>
        <w:trPr>
          <w:cantSplit/>
          <w:tblHeader w:val="false"/>
        </w:trPr>
        <w:tc>
          <w:tcPr>
            <w:tcW w:type="dxa" w:w="767"/>
            <w:tcMar>
              <w:top w:type="dxa" w:w="70"/>
              <w:left w:type="dxa" w:w="100"/>
              <w:bottom w:type="dxa" w:w="70"/>
              <w:right w:type="dxa" w:w="100"/>
            </w:tcMar>
            <w:vAlign w:val="center"/>
          </w:tcPr>
          <w:p>
            <w:pPr>
              <w:spacing w:after="0" w:line="252"/>
              <w:jc w:val="center"/>
            </w:pPr>
            <w:r>
              <w:rPr>
                <w:rFonts w:ascii="Avenir Next LT Pro" w:cs="Avenir Next LT Pro" w:eastAsia="Avenir Next LT Pro" w:hAnsi="Avenir Next LT Pro"/>
                <w:b w:val="false"/>
                <w:bCs w:val="false"/>
                <w:color w:val="1A1A1A"/>
                <w:sz w:val="18"/>
                <w:szCs w:val="18"/>
              </w:rPr>
              <w:t xml:space="preserve">☐</w:t>
            </w:r>
          </w:p>
        </w:tc>
        <w:tc>
          <w:tcPr>
            <w:tcW w:type="dxa" w:w="6570"/>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1A1A1A"/>
                <w:sz w:val="18"/>
                <w:szCs w:val="18"/>
              </w:rPr>
              <w:t xml:space="preserve">MQTT reconnects automatically after broker interruption</w:t>
            </w:r>
          </w:p>
        </w:tc>
        <w:tc>
          <w:tcPr>
            <w:tcW w:type="dxa" w:w="2409"/>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1A1A1A"/>
                <w:sz w:val="18"/>
                <w:szCs w:val="18"/>
              </w:rPr>
              <w:t xml:space="preserve"/>
            </w:r>
          </w:p>
        </w:tc>
      </w:tr>
      <w:tr>
        <w:trPr>
          <w:cantSplit/>
          <w:tblHeader w:val="false"/>
        </w:trPr>
        <w:tc>
          <w:tcPr>
            <w:tcW w:type="dxa" w:w="767"/>
            <w:tcMar>
              <w:top w:type="dxa" w:w="70"/>
              <w:left w:type="dxa" w:w="100"/>
              <w:bottom w:type="dxa" w:w="70"/>
              <w:right w:type="dxa" w:w="100"/>
            </w:tcMar>
            <w:vAlign w:val="center"/>
          </w:tcPr>
          <w:p>
            <w:pPr>
              <w:spacing w:after="0" w:line="252"/>
              <w:jc w:val="center"/>
            </w:pPr>
            <w:r>
              <w:rPr>
                <w:rFonts w:ascii="Avenir Next LT Pro" w:cs="Avenir Next LT Pro" w:eastAsia="Avenir Next LT Pro" w:hAnsi="Avenir Next LT Pro"/>
                <w:b w:val="false"/>
                <w:bCs w:val="false"/>
                <w:color w:val="1A1A1A"/>
                <w:sz w:val="18"/>
                <w:szCs w:val="18"/>
              </w:rPr>
              <w:t xml:space="preserve">☐</w:t>
            </w:r>
          </w:p>
        </w:tc>
        <w:tc>
          <w:tcPr>
            <w:tcW w:type="dxa" w:w="6570"/>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1A1A1A"/>
                <w:sz w:val="18"/>
                <w:szCs w:val="18"/>
              </w:rPr>
              <w:t xml:space="preserve">Sensor recovers automatically after disconnect and reconnect</w:t>
            </w:r>
          </w:p>
        </w:tc>
        <w:tc>
          <w:tcPr>
            <w:tcW w:type="dxa" w:w="2409"/>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1A1A1A"/>
                <w:sz w:val="18"/>
                <w:szCs w:val="18"/>
              </w:rPr>
              <w:t xml:space="preserve"/>
            </w:r>
          </w:p>
        </w:tc>
      </w:tr>
    </w:tbl>
    <w:p>
      <w:pPr>
        <w:spacing w:after="200"/>
      </w:pPr>
    </w:p>
    <w:tbl>
      <w:tblPr>
        <w:tblW w:type="dxa" w:w="9746"/>
        <w:tblBorders>
          <w:top w:val="single" w:color="BFBBB4" w:sz="4"/>
          <w:left w:val="single" w:color="BFBBB4" w:sz="4"/>
          <w:bottom w:val="single" w:color="BFBBB4" w:sz="4"/>
          <w:right w:val="single" w:color="BFBBB4" w:sz="4"/>
          <w:insideH w:val="single" w:color="BFBBB4" w:sz="2"/>
          <w:insideV w:val="single" w:color="BFBBB4" w:sz="2"/>
        </w:tblBorders>
      </w:tblPr>
      <w:tblGrid>
        <w:gridCol w:w="2215"/>
        <w:gridCol w:w="2658"/>
        <w:gridCol w:w="2215"/>
        <w:gridCol w:w="2658"/>
      </w:tblGrid>
      <w:tr>
        <w:trPr>
          <w:cantSplit/>
          <w:tblHeader w:val="false"/>
        </w:trPr>
        <w:tc>
          <w:tcPr>
            <w:tcW w:type="dxa" w:w="2215"/>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bCs/>
                <w:color w:val="1A1A1A"/>
                <w:sz w:val="18"/>
                <w:szCs w:val="18"/>
              </w:rPr>
              <w:t xml:space="preserve">Built by</w:t>
            </w:r>
          </w:p>
        </w:tc>
        <w:tc>
          <w:tcPr>
            <w:tcW w:type="dxa" w:w="2658"/>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1A1A1A"/>
                <w:sz w:val="18"/>
                <w:szCs w:val="18"/>
              </w:rPr>
              <w:t xml:space="preserve"/>
            </w:r>
          </w:p>
        </w:tc>
        <w:tc>
          <w:tcPr>
            <w:tcW w:type="dxa" w:w="2215"/>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bCs/>
                <w:color w:val="1A1A1A"/>
                <w:sz w:val="18"/>
                <w:szCs w:val="18"/>
              </w:rPr>
              <w:t xml:space="preserve">Date</w:t>
            </w:r>
          </w:p>
        </w:tc>
        <w:tc>
          <w:tcPr>
            <w:tcW w:type="dxa" w:w="2658"/>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1A1A1A"/>
                <w:sz w:val="18"/>
                <w:szCs w:val="18"/>
              </w:rPr>
              <w:t xml:space="preserve"/>
            </w:r>
          </w:p>
        </w:tc>
      </w:tr>
      <w:tr>
        <w:trPr>
          <w:cantSplit/>
          <w:tblHeader w:val="false"/>
        </w:trPr>
        <w:tc>
          <w:tcPr>
            <w:tcW w:type="dxa" w:w="2215"/>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bCs/>
                <w:color w:val="1A1A1A"/>
                <w:sz w:val="18"/>
                <w:szCs w:val="18"/>
              </w:rPr>
              <w:t xml:space="preserve">Tested by</w:t>
            </w:r>
          </w:p>
        </w:tc>
        <w:tc>
          <w:tcPr>
            <w:tcW w:type="dxa" w:w="2658"/>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1A1A1A"/>
                <w:sz w:val="18"/>
                <w:szCs w:val="18"/>
              </w:rPr>
              <w:t xml:space="preserve"/>
            </w:r>
          </w:p>
        </w:tc>
        <w:tc>
          <w:tcPr>
            <w:tcW w:type="dxa" w:w="2215"/>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bCs/>
                <w:color w:val="1A1A1A"/>
                <w:sz w:val="18"/>
                <w:szCs w:val="18"/>
              </w:rPr>
              <w:t xml:space="preserve">Date</w:t>
            </w:r>
          </w:p>
        </w:tc>
        <w:tc>
          <w:tcPr>
            <w:tcW w:type="dxa" w:w="2658"/>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1A1A1A"/>
                <w:sz w:val="18"/>
                <w:szCs w:val="18"/>
              </w:rPr>
              <w:t xml:space="preserve"/>
            </w:r>
          </w:p>
        </w:tc>
      </w:tr>
      <w:tr>
        <w:trPr>
          <w:cantSplit/>
          <w:tblHeader w:val="false"/>
        </w:trPr>
        <w:tc>
          <w:tcPr>
            <w:tcW w:type="dxa" w:w="2215"/>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bCs/>
                <w:color w:val="1A1A1A"/>
                <w:sz w:val="18"/>
                <w:szCs w:val="18"/>
              </w:rPr>
              <w:t xml:space="preserve">Serial number</w:t>
            </w:r>
          </w:p>
        </w:tc>
        <w:tc>
          <w:tcPr>
            <w:tcW w:type="dxa" w:w="2658"/>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1A1A1A"/>
                <w:sz w:val="18"/>
                <w:szCs w:val="18"/>
              </w:rPr>
              <w:t xml:space="preserve"/>
            </w:r>
          </w:p>
        </w:tc>
        <w:tc>
          <w:tcPr>
            <w:tcW w:type="dxa" w:w="2215"/>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bCs/>
                <w:color w:val="1A1A1A"/>
                <w:sz w:val="18"/>
                <w:szCs w:val="18"/>
              </w:rPr>
              <w:t xml:space="preserve">FW SHA-256</w:t>
            </w:r>
          </w:p>
        </w:tc>
        <w:tc>
          <w:tcPr>
            <w:tcW w:type="dxa" w:w="2658"/>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1A1A1A"/>
                <w:sz w:val="18"/>
                <w:szCs w:val="18"/>
              </w:rPr>
              <w:t xml:space="preserve"/>
            </w:r>
          </w:p>
        </w:tc>
      </w:tr>
    </w:tbl>
    <w:p>
      <w:pPr>
        <w:pStyle w:val="Heading1"/>
        <w:keepNext/>
        <w:keepLines/>
        <w:pBdr>
          <w:bottom w:val="single" w:color="BFBBB4" w:sz="8" w:space="6"/>
        </w:pBdr>
        <w:spacing w:after="160" w:before="360"/>
      </w:pPr>
      <w:r>
        <w:rPr>
          <w:rFonts w:ascii="Avenir Next LT Pro" w:cs="Avenir Next LT Pro" w:eastAsia="Avenir Next LT Pro" w:hAnsi="Avenir Next LT Pro"/>
          <w:b/>
          <w:bCs/>
          <w:color w:val="1A1A1A"/>
          <w:sz w:val="28"/>
          <w:szCs w:val="28"/>
        </w:rPr>
        <w:t xml:space="preserve">8.  Design Record</w:t>
      </w:r>
    </w:p>
    <w:p>
      <w:pPr>
        <w:pStyle w:val="Heading2"/>
        <w:keepNext/>
        <w:keepLines/>
        <w:spacing w:after="120" w:before="280"/>
      </w:pPr>
      <w:r>
        <w:rPr>
          <w:rFonts w:ascii="Avenir Next LT Pro" w:cs="Avenir Next LT Pro" w:eastAsia="Avenir Next LT Pro" w:hAnsi="Avenir Next LT Pro"/>
          <w:b/>
          <w:bCs/>
          <w:color w:val="1A1A1A"/>
          <w:sz w:val="23"/>
          <w:szCs w:val="23"/>
        </w:rPr>
        <w:t xml:space="preserve">8.1  Enclosure material</w:t>
      </w:r>
    </w:p>
    <w:p>
      <w:pPr>
        <w:spacing w:after="120" w:before="0" w:line="276"/>
      </w:pPr>
      <w:r>
        <w:rPr>
          <w:rFonts w:ascii="Avenir Next LT Pro" w:cs="Avenir Next LT Pro" w:eastAsia="Avenir Next LT Pro" w:hAnsi="Avenir Next LT Pro"/>
          <w:color w:val="1A1A1A"/>
          <w:sz w:val="20"/>
          <w:szCs w:val="20"/>
        </w:rPr>
        <w:t xml:space="preserve">HT-PLA was selected over standard PLA because the enclosure contains an open-frame mains supply and may be deployed near rotating plant. Standard PLA softens close to typical enclosure internal temperatures. The heat rating depends on annealing being performed per the filament data sheet — an un-annealed HT-PLA part does not carry the rated performance.</w:t>
      </w:r>
    </w:p>
    <w:p>
      <w:pPr>
        <w:pStyle w:val="Heading2"/>
        <w:keepNext/>
        <w:keepLines/>
        <w:spacing w:after="120" w:before="280"/>
      </w:pPr>
      <w:r>
        <w:rPr>
          <w:rFonts w:ascii="Avenir Next LT Pro" w:cs="Avenir Next LT Pro" w:eastAsia="Avenir Next LT Pro" w:hAnsi="Avenir Next LT Pro"/>
          <w:b/>
          <w:bCs/>
          <w:color w:val="1A1A1A"/>
          <w:sz w:val="23"/>
          <w:szCs w:val="23"/>
        </w:rPr>
        <w:t xml:space="preserve">8.2  Why the 12 V rail is stepped down by a switching converter</w:t>
      </w:r>
    </w:p>
    <w:p>
      <w:pPr>
        <w:spacing w:after="120" w:before="0" w:line="276"/>
      </w:pPr>
      <w:r>
        <w:rPr>
          <w:rFonts w:ascii="Avenir Next LT Pro" w:cs="Avenir Next LT Pro" w:eastAsia="Avenir Next LT Pro" w:hAnsi="Avenir Next LT Pro"/>
          <w:color w:val="1A1A1A"/>
          <w:sz w:val="20"/>
          <w:szCs w:val="20"/>
        </w:rPr>
        <w:t xml:space="preserve">The Murata OKI-78SR is a switching regulator, not a linear one, and this is deliberate. A linear regulator dropping 12 V to 5 V at the ESP32 Wi-Fi transmit current of 250–350 mA would dissipate on the order of 2.5 W in a small package and enter thermal shutdown when the radio transmits. The failure presentation is misleading: the unit boots and appears healthy, then the access point fails to come up.</w:t>
      </w:r>
    </w:p>
    <w:p>
      <w:pPr>
        <w:spacing w:after="120" w:before="0" w:line="276"/>
      </w:pPr>
      <w:r>
        <w:rPr>
          <w:rFonts w:ascii="Avenir Next LT Pro" w:cs="Avenir Next LT Pro" w:eastAsia="Avenir Next LT Pro" w:hAnsi="Avenir Next LT Pro"/>
          <w:color w:val="1A1A1A"/>
          <w:sz w:val="20"/>
          <w:szCs w:val="20"/>
        </w:rPr>
        <w:t xml:space="preserve">Any future substitution must preserve switching topology and a current rating of at least 1 A. Do not substitute a linear regulator.</w:t>
      </w:r>
    </w:p>
    <w:p>
      <w:pPr>
        <w:pStyle w:val="Heading2"/>
        <w:keepNext/>
        <w:keepLines/>
        <w:spacing w:after="120" w:before="280"/>
      </w:pPr>
      <w:r>
        <w:rPr>
          <w:rFonts w:ascii="Avenir Next LT Pro" w:cs="Avenir Next LT Pro" w:eastAsia="Avenir Next LT Pro" w:hAnsi="Avenir Next LT Pro"/>
          <w:b/>
          <w:bCs/>
          <w:color w:val="1A1A1A"/>
          <w:sz w:val="23"/>
          <w:szCs w:val="23"/>
        </w:rPr>
        <w:t xml:space="preserve">8.3  Why the RS-485 interface is isolated</w:t>
      </w:r>
    </w:p>
    <w:p>
      <w:pPr>
        <w:spacing w:after="120" w:before="0" w:line="276"/>
      </w:pPr>
      <w:r>
        <w:rPr>
          <w:rFonts w:ascii="Avenir Next LT Pro" w:cs="Avenir Next LT Pro" w:eastAsia="Avenir Next LT Pro" w:hAnsi="Avenir Next LT Pro"/>
          <w:color w:val="1A1A1A"/>
          <w:sz w:val="20"/>
          <w:szCs w:val="20"/>
        </w:rPr>
        <w:t xml:space="preserve">The sensor cable can run a significant distance across plant with a different ground reference at each end. A non-isolated transceiver would place that potential difference across the controller. Galvanic isolation confines a cabling fault to a replaceable module.</w:t>
      </w:r>
    </w:p>
    <w:p>
      <w:pPr>
        <w:pStyle w:val="Heading2"/>
        <w:keepNext/>
        <w:keepLines/>
        <w:spacing w:after="120" w:before="280"/>
      </w:pPr>
      <w:r>
        <w:rPr>
          <w:rFonts w:ascii="Avenir Next LT Pro" w:cs="Avenir Next LT Pro" w:eastAsia="Avenir Next LT Pro" w:hAnsi="Avenir Next LT Pro"/>
          <w:b/>
          <w:bCs/>
          <w:color w:val="1A1A1A"/>
          <w:sz w:val="23"/>
          <w:szCs w:val="23"/>
        </w:rPr>
        <w:t xml:space="preserve">8.4  Why the WROOM-32U variant</w:t>
      </w:r>
    </w:p>
    <w:p>
      <w:pPr>
        <w:spacing w:after="120" w:before="0" w:line="276"/>
      </w:pPr>
      <w:r>
        <w:rPr>
          <w:rFonts w:ascii="Avenir Next LT Pro" w:cs="Avenir Next LT Pro" w:eastAsia="Avenir Next LT Pro" w:hAnsi="Avenir Next LT Pro"/>
          <w:color w:val="1A1A1A"/>
          <w:sz w:val="20"/>
          <w:szCs w:val="20"/>
        </w:rPr>
        <w:t xml:space="preserve">The "U" variant terminates in a U.FL connector and has no PCB antenna. This allows the antenna to be positioned outside a metal or dense enclosure. It carries a consequence that must be respected in production: with no antenna fitted, or with the U.FL not fully seated, the module still initialises and appears to work at bench range while being effectively deaf in the field. The antenna check in §6.2 exists for this reason.</w:t>
      </w:r>
    </w:p>
    <w:p>
      <w:pPr>
        <w:pStyle w:val="Heading1"/>
        <w:keepNext/>
        <w:keepLines/>
        <w:pBdr>
          <w:bottom w:val="single" w:color="BFBBB4" w:sz="8" w:space="6"/>
        </w:pBdr>
        <w:spacing w:after="160" w:before="360"/>
      </w:pPr>
      <w:r>
        <w:rPr>
          <w:rFonts w:ascii="Avenir Next LT Pro" w:cs="Avenir Next LT Pro" w:eastAsia="Avenir Next LT Pro" w:hAnsi="Avenir Next LT Pro"/>
          <w:b/>
          <w:bCs/>
          <w:color w:val="1A1A1A"/>
          <w:sz w:val="28"/>
          <w:szCs w:val="28"/>
        </w:rPr>
        <w:t xml:space="preserve">9.  Open Items</w:t>
      </w:r>
    </w:p>
    <w:p>
      <w:pPr>
        <w:spacing w:after="120" w:before="0" w:line="276"/>
      </w:pPr>
      <w:r>
        <w:rPr>
          <w:rFonts w:ascii="Avenir Next LT Pro" w:cs="Avenir Next LT Pro" w:eastAsia="Avenir Next LT Pro" w:hAnsi="Avenir Next LT Pro"/>
          <w:color w:val="1A1A1A"/>
          <w:sz w:val="20"/>
          <w:szCs w:val="20"/>
        </w:rPr>
        <w:t xml:space="preserve">The following must be closed before series production. Each is referenced from its section.</w:t>
      </w:r>
    </w:p>
    <w:tbl>
      <w:tblPr>
        <w:tblW w:type="dxa" w:w="9746"/>
        <w:tblBorders>
          <w:top w:val="single" w:color="BFBBB4" w:sz="4"/>
          <w:left w:val="single" w:color="BFBBB4" w:sz="4"/>
          <w:bottom w:val="single" w:color="BFBBB4" w:sz="4"/>
          <w:right w:val="single" w:color="BFBBB4" w:sz="4"/>
          <w:insideH w:val="single" w:color="BFBBB4" w:sz="2"/>
          <w:insideV w:val="single" w:color="BFBBB4" w:sz="2"/>
        </w:tblBorders>
      </w:tblPr>
      <w:tblGrid>
        <w:gridCol w:w="937"/>
        <w:gridCol w:w="2249"/>
        <w:gridCol w:w="4873"/>
        <w:gridCol w:w="1687"/>
      </w:tblGrid>
      <w:tr>
        <w:trPr>
          <w:cantSplit/>
          <w:tblHeader/>
        </w:trPr>
        <w:tc>
          <w:tcPr>
            <w:tcW w:type="dxa" w:w="937"/>
            <w:shd w:fill="E8E6E1" w:color="auto" w:val="clear"/>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bCs/>
                <w:color w:val="1A1A1A"/>
                <w:sz w:val="18"/>
                <w:szCs w:val="18"/>
              </w:rPr>
              <w:t xml:space="preserve">#</w:t>
            </w:r>
          </w:p>
        </w:tc>
        <w:tc>
          <w:tcPr>
            <w:tcW w:type="dxa" w:w="2249"/>
            <w:shd w:fill="E8E6E1" w:color="auto" w:val="clear"/>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bCs/>
                <w:color w:val="1A1A1A"/>
                <w:sz w:val="18"/>
                <w:szCs w:val="18"/>
              </w:rPr>
              <w:t xml:space="preserve">Section</w:t>
            </w:r>
          </w:p>
        </w:tc>
        <w:tc>
          <w:tcPr>
            <w:tcW w:type="dxa" w:w="4873"/>
            <w:shd w:fill="E8E6E1" w:color="auto" w:val="clear"/>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bCs/>
                <w:color w:val="1A1A1A"/>
                <w:sz w:val="18"/>
                <w:szCs w:val="18"/>
              </w:rPr>
              <w:t xml:space="preserve">Item</w:t>
            </w:r>
          </w:p>
        </w:tc>
        <w:tc>
          <w:tcPr>
            <w:tcW w:type="dxa" w:w="1687"/>
            <w:shd w:fill="E8E6E1" w:color="auto" w:val="clear"/>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bCs/>
                <w:color w:val="1A1A1A"/>
                <w:sz w:val="18"/>
                <w:szCs w:val="18"/>
              </w:rPr>
              <w:t xml:space="preserve">Owner / due</w:t>
            </w:r>
          </w:p>
        </w:tc>
      </w:tr>
      <w:tr>
        <w:trPr>
          <w:cantSplit/>
          <w:tblHeader w:val="false"/>
        </w:trPr>
        <w:tc>
          <w:tcPr>
            <w:tcW w:type="dxa" w:w="937"/>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1A1A1A"/>
                <w:sz w:val="18"/>
                <w:szCs w:val="18"/>
              </w:rPr>
              <w:t xml:space="preserve">1</w:t>
            </w:r>
          </w:p>
        </w:tc>
        <w:tc>
          <w:tcPr>
            <w:tcW w:type="dxa" w:w="2249"/>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1A1A1A"/>
                <w:sz w:val="18"/>
                <w:szCs w:val="18"/>
              </w:rPr>
              <w:t xml:space="preserve">§2.2</w:t>
            </w:r>
          </w:p>
        </w:tc>
        <w:tc>
          <w:tcPr>
            <w:tcW w:type="dxa" w:w="4873"/>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1A1A1A"/>
                <w:sz w:val="18"/>
                <w:szCs w:val="18"/>
              </w:rPr>
              <w:t xml:space="preserve">Fix and record print orientation and support strategy for all three parts</w:t>
            </w:r>
          </w:p>
        </w:tc>
        <w:tc>
          <w:tcPr>
            <w:tcW w:type="dxa" w:w="1687"/>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1A1A1A"/>
                <w:sz w:val="18"/>
                <w:szCs w:val="18"/>
              </w:rPr>
              <w:t xml:space="preserve"/>
            </w:r>
          </w:p>
        </w:tc>
      </w:tr>
      <w:tr>
        <w:trPr>
          <w:cantSplit/>
          <w:tblHeader w:val="false"/>
        </w:trPr>
        <w:tc>
          <w:tcPr>
            <w:tcW w:type="dxa" w:w="937"/>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1A1A1A"/>
                <w:sz w:val="18"/>
                <w:szCs w:val="18"/>
              </w:rPr>
              <w:t xml:space="preserve">2</w:t>
            </w:r>
          </w:p>
        </w:tc>
        <w:tc>
          <w:tcPr>
            <w:tcW w:type="dxa" w:w="2249"/>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1A1A1A"/>
                <w:sz w:val="18"/>
                <w:szCs w:val="18"/>
              </w:rPr>
              <w:t xml:space="preserve">§2.3</w:t>
            </w:r>
          </w:p>
        </w:tc>
        <w:tc>
          <w:tcPr>
            <w:tcW w:type="dxa" w:w="4873"/>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1A1A1A"/>
                <w:sz w:val="18"/>
                <w:szCs w:val="18"/>
              </w:rPr>
              <w:t xml:space="preserve">Confirm brass insert quantity and per-location breakdown</w:t>
            </w:r>
          </w:p>
        </w:tc>
        <w:tc>
          <w:tcPr>
            <w:tcW w:type="dxa" w:w="1687"/>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1A1A1A"/>
                <w:sz w:val="18"/>
                <w:szCs w:val="18"/>
              </w:rPr>
              <w:t xml:space="preserve"/>
            </w:r>
          </w:p>
        </w:tc>
      </w:tr>
      <w:tr>
        <w:trPr>
          <w:cantSplit/>
          <w:tblHeader w:val="false"/>
        </w:trPr>
        <w:tc>
          <w:tcPr>
            <w:tcW w:type="dxa" w:w="937"/>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1A1A1A"/>
                <w:sz w:val="18"/>
                <w:szCs w:val="18"/>
              </w:rPr>
              <w:t xml:space="preserve">3</w:t>
            </w:r>
          </w:p>
        </w:tc>
        <w:tc>
          <w:tcPr>
            <w:tcW w:type="dxa" w:w="2249"/>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1A1A1A"/>
                <w:sz w:val="18"/>
                <w:szCs w:val="18"/>
              </w:rPr>
              <w:t xml:space="preserve">§3.1</w:t>
            </w:r>
          </w:p>
        </w:tc>
        <w:tc>
          <w:tcPr>
            <w:tcW w:type="dxa" w:w="4873"/>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1A1A1A"/>
                <w:sz w:val="18"/>
                <w:szCs w:val="18"/>
              </w:rPr>
              <w:t xml:space="preserve">Confirm USB-UART bridge part number ("C2012" unresolved)</w:t>
            </w:r>
          </w:p>
        </w:tc>
        <w:tc>
          <w:tcPr>
            <w:tcW w:type="dxa" w:w="1687"/>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1A1A1A"/>
                <w:sz w:val="18"/>
                <w:szCs w:val="18"/>
              </w:rPr>
              <w:t xml:space="preserve"/>
            </w:r>
          </w:p>
        </w:tc>
      </w:tr>
      <w:tr>
        <w:trPr>
          <w:cantSplit/>
          <w:tblHeader w:val="false"/>
        </w:trPr>
        <w:tc>
          <w:tcPr>
            <w:tcW w:type="dxa" w:w="937"/>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1A1A1A"/>
                <w:sz w:val="18"/>
                <w:szCs w:val="18"/>
              </w:rPr>
              <w:t xml:space="preserve">4</w:t>
            </w:r>
          </w:p>
        </w:tc>
        <w:tc>
          <w:tcPr>
            <w:tcW w:type="dxa" w:w="2249"/>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1A1A1A"/>
                <w:sz w:val="18"/>
                <w:szCs w:val="18"/>
              </w:rPr>
              <w:t xml:space="preserve">§4.2</w:t>
            </w:r>
          </w:p>
        </w:tc>
        <w:tc>
          <w:tcPr>
            <w:tcW w:type="dxa" w:w="4873"/>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1A1A1A"/>
                <w:sz w:val="18"/>
                <w:szCs w:val="18"/>
              </w:rPr>
              <w:t xml:space="preserve">Define and record the M12 4-pin signal assignment — blocks cable assembly</w:t>
            </w:r>
          </w:p>
        </w:tc>
        <w:tc>
          <w:tcPr>
            <w:tcW w:type="dxa" w:w="1687"/>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1A1A1A"/>
                <w:sz w:val="18"/>
                <w:szCs w:val="18"/>
              </w:rPr>
              <w:t xml:space="preserve"/>
            </w:r>
          </w:p>
        </w:tc>
      </w:tr>
      <w:tr>
        <w:trPr>
          <w:cantSplit/>
          <w:tblHeader w:val="false"/>
        </w:trPr>
        <w:tc>
          <w:tcPr>
            <w:tcW w:type="dxa" w:w="937"/>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1A1A1A"/>
                <w:sz w:val="18"/>
                <w:szCs w:val="18"/>
              </w:rPr>
              <w:t xml:space="preserve">5</w:t>
            </w:r>
          </w:p>
        </w:tc>
        <w:tc>
          <w:tcPr>
            <w:tcW w:type="dxa" w:w="2249"/>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1A1A1A"/>
                <w:sz w:val="18"/>
                <w:szCs w:val="18"/>
              </w:rPr>
              <w:t xml:space="preserve">§3</w:t>
            </w:r>
          </w:p>
        </w:tc>
        <w:tc>
          <w:tcPr>
            <w:tcW w:type="dxa" w:w="4873"/>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1A1A1A"/>
                <w:sz w:val="18"/>
                <w:szCs w:val="18"/>
              </w:rPr>
              <w:t xml:space="preserve">Populate BOM unit costs from actual purchase orders</w:t>
            </w:r>
          </w:p>
        </w:tc>
        <w:tc>
          <w:tcPr>
            <w:tcW w:type="dxa" w:w="1687"/>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1A1A1A"/>
                <w:sz w:val="18"/>
                <w:szCs w:val="18"/>
              </w:rPr>
              <w:t xml:space="preserve"/>
            </w:r>
          </w:p>
        </w:tc>
      </w:tr>
      <w:tr>
        <w:trPr>
          <w:cantSplit/>
          <w:tblHeader w:val="false"/>
        </w:trPr>
        <w:tc>
          <w:tcPr>
            <w:tcW w:type="dxa" w:w="937"/>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1A1A1A"/>
                <w:sz w:val="18"/>
                <w:szCs w:val="18"/>
              </w:rPr>
              <w:t xml:space="preserve">6</w:t>
            </w:r>
          </w:p>
        </w:tc>
        <w:tc>
          <w:tcPr>
            <w:tcW w:type="dxa" w:w="2249"/>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1A1A1A"/>
                <w:sz w:val="18"/>
                <w:szCs w:val="18"/>
              </w:rPr>
              <w:t xml:space="preserve">§2.2</w:t>
            </w:r>
          </w:p>
        </w:tc>
        <w:tc>
          <w:tcPr>
            <w:tcW w:type="dxa" w:w="4873"/>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1A1A1A"/>
                <w:sz w:val="18"/>
                <w:szCs w:val="18"/>
              </w:rPr>
              <w:t xml:space="preserve">Confirm annealing schedule and add to the print process table</w:t>
            </w:r>
          </w:p>
        </w:tc>
        <w:tc>
          <w:tcPr>
            <w:tcW w:type="dxa" w:w="1687"/>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1A1A1A"/>
                <w:sz w:val="18"/>
                <w:szCs w:val="18"/>
              </w:rPr>
              <w:t xml:space="preserve"/>
            </w:r>
          </w:p>
        </w:tc>
      </w:tr>
    </w:tbl>
    <w:p>
      <w:pPr>
        <w:pStyle w:val="Heading1"/>
        <w:keepNext/>
        <w:keepLines/>
        <w:pBdr>
          <w:bottom w:val="single" w:color="BFBBB4" w:sz="8" w:space="6"/>
        </w:pBdr>
        <w:spacing w:after="160" w:before="360"/>
      </w:pPr>
      <w:r>
        <w:rPr>
          <w:rFonts w:ascii="Avenir Next LT Pro" w:cs="Avenir Next LT Pro" w:eastAsia="Avenir Next LT Pro" w:hAnsi="Avenir Next LT Pro"/>
          <w:b/>
          <w:bCs/>
          <w:color w:val="1A1A1A"/>
          <w:sz w:val="28"/>
          <w:szCs w:val="28"/>
        </w:rPr>
        <w:t xml:space="preserve">10.  Revision History</w:t>
      </w:r>
    </w:p>
    <w:tbl>
      <w:tblPr>
        <w:tblW w:type="dxa" w:w="9746"/>
        <w:tblBorders>
          <w:top w:val="single" w:color="BFBBB4" w:sz="4"/>
          <w:left w:val="single" w:color="BFBBB4" w:sz="4"/>
          <w:bottom w:val="single" w:color="BFBBB4" w:sz="4"/>
          <w:right w:val="single" w:color="BFBBB4" w:sz="4"/>
          <w:insideH w:val="single" w:color="BFBBB4" w:sz="2"/>
          <w:insideV w:val="single" w:color="BFBBB4" w:sz="2"/>
        </w:tblBorders>
      </w:tblPr>
      <w:tblGrid>
        <w:gridCol w:w="1240"/>
        <w:gridCol w:w="1772"/>
        <w:gridCol w:w="4962"/>
        <w:gridCol w:w="1772"/>
      </w:tblGrid>
      <w:tr>
        <w:trPr>
          <w:cantSplit/>
          <w:tblHeader/>
        </w:trPr>
        <w:tc>
          <w:tcPr>
            <w:tcW w:type="dxa" w:w="1240"/>
            <w:shd w:fill="E8E6E1" w:color="auto" w:val="clear"/>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bCs/>
                <w:color w:val="1A1A1A"/>
                <w:sz w:val="18"/>
                <w:szCs w:val="18"/>
              </w:rPr>
              <w:t xml:space="preserve">Rev</w:t>
            </w:r>
          </w:p>
        </w:tc>
        <w:tc>
          <w:tcPr>
            <w:tcW w:type="dxa" w:w="1772"/>
            <w:shd w:fill="E8E6E1" w:color="auto" w:val="clear"/>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bCs/>
                <w:color w:val="1A1A1A"/>
                <w:sz w:val="18"/>
                <w:szCs w:val="18"/>
              </w:rPr>
              <w:t xml:space="preserve">Date</w:t>
            </w:r>
          </w:p>
        </w:tc>
        <w:tc>
          <w:tcPr>
            <w:tcW w:type="dxa" w:w="4962"/>
            <w:shd w:fill="E8E6E1" w:color="auto" w:val="clear"/>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bCs/>
                <w:color w:val="1A1A1A"/>
                <w:sz w:val="18"/>
                <w:szCs w:val="18"/>
              </w:rPr>
              <w:t xml:space="preserve">Description</w:t>
            </w:r>
          </w:p>
        </w:tc>
        <w:tc>
          <w:tcPr>
            <w:tcW w:type="dxa" w:w="1772"/>
            <w:shd w:fill="E8E6E1" w:color="auto" w:val="clear"/>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bCs/>
                <w:color w:val="1A1A1A"/>
                <w:sz w:val="18"/>
                <w:szCs w:val="18"/>
              </w:rPr>
              <w:t xml:space="preserve">Approved</w:t>
            </w:r>
          </w:p>
        </w:tc>
      </w:tr>
      <w:tr>
        <w:trPr>
          <w:cantSplit/>
          <w:tblHeader w:val="false"/>
        </w:trPr>
        <w:tc>
          <w:tcPr>
            <w:tcW w:type="dxa" w:w="1240"/>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1A1A1A"/>
                <w:sz w:val="18"/>
                <w:szCs w:val="18"/>
              </w:rPr>
              <w:t xml:space="preserve">A</w:t>
            </w:r>
          </w:p>
        </w:tc>
        <w:tc>
          <w:tcPr>
            <w:tcW w:type="dxa" w:w="1772"/>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1A1A1A"/>
                <w:sz w:val="18"/>
                <w:szCs w:val="18"/>
              </w:rPr>
              <w:t xml:space="preserve">29 July 2026</w:t>
            </w:r>
          </w:p>
        </w:tc>
        <w:tc>
          <w:tcPr>
            <w:tcW w:type="dxa" w:w="4962"/>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1A1A1A"/>
                <w:sz w:val="18"/>
                <w:szCs w:val="18"/>
              </w:rPr>
              <w:t xml:space="preserve">Initial issue. Compiled from the source build list, released STL geometry and firmware v1.8.5-live-readings.</w:t>
            </w:r>
          </w:p>
        </w:tc>
        <w:tc>
          <w:tcPr>
            <w:tcW w:type="dxa" w:w="1772"/>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1A1A1A"/>
                <w:sz w:val="18"/>
                <w:szCs w:val="18"/>
              </w:rPr>
              <w:t xml:space="preserve"/>
            </w:r>
          </w:p>
        </w:tc>
      </w:tr>
      <w:tr>
        <w:trPr>
          <w:cantSplit/>
          <w:tblHeader w:val="false"/>
        </w:trPr>
        <w:tc>
          <w:tcPr>
            <w:tcW w:type="dxa" w:w="1240"/>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1A1A1A"/>
                <w:sz w:val="18"/>
                <w:szCs w:val="18"/>
              </w:rPr>
              <w:t xml:space="preserve"/>
            </w:r>
          </w:p>
        </w:tc>
        <w:tc>
          <w:tcPr>
            <w:tcW w:type="dxa" w:w="1772"/>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1A1A1A"/>
                <w:sz w:val="18"/>
                <w:szCs w:val="18"/>
              </w:rPr>
              <w:t xml:space="preserve"/>
            </w:r>
          </w:p>
        </w:tc>
        <w:tc>
          <w:tcPr>
            <w:tcW w:type="dxa" w:w="4962"/>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1A1A1A"/>
                <w:sz w:val="18"/>
                <w:szCs w:val="18"/>
              </w:rPr>
              <w:t xml:space="preserve"/>
            </w:r>
          </w:p>
        </w:tc>
        <w:tc>
          <w:tcPr>
            <w:tcW w:type="dxa" w:w="1772"/>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1A1A1A"/>
                <w:sz w:val="18"/>
                <w:szCs w:val="18"/>
              </w:rPr>
              <w:t xml:space="preserve"/>
            </w:r>
          </w:p>
        </w:tc>
      </w:tr>
      <w:tr>
        <w:trPr>
          <w:cantSplit/>
          <w:tblHeader w:val="false"/>
        </w:trPr>
        <w:tc>
          <w:tcPr>
            <w:tcW w:type="dxa" w:w="1240"/>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1A1A1A"/>
                <w:sz w:val="18"/>
                <w:szCs w:val="18"/>
              </w:rPr>
              <w:t xml:space="preserve"/>
            </w:r>
          </w:p>
        </w:tc>
        <w:tc>
          <w:tcPr>
            <w:tcW w:type="dxa" w:w="1772"/>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1A1A1A"/>
                <w:sz w:val="18"/>
                <w:szCs w:val="18"/>
              </w:rPr>
              <w:t xml:space="preserve"/>
            </w:r>
          </w:p>
        </w:tc>
        <w:tc>
          <w:tcPr>
            <w:tcW w:type="dxa" w:w="4962"/>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1A1A1A"/>
                <w:sz w:val="18"/>
                <w:szCs w:val="18"/>
              </w:rPr>
              <w:t xml:space="preserve"/>
            </w:r>
          </w:p>
        </w:tc>
        <w:tc>
          <w:tcPr>
            <w:tcW w:type="dxa" w:w="1772"/>
            <w:tcMar>
              <w:top w:type="dxa" w:w="70"/>
              <w:left w:type="dxa" w:w="100"/>
              <w:bottom w:type="dxa" w:w="70"/>
              <w:right w:type="dxa" w:w="100"/>
            </w:tcMar>
            <w:vAlign w:val="center"/>
          </w:tcPr>
          <w:p>
            <w:pPr>
              <w:spacing w:after="0" w:line="252"/>
            </w:pPr>
            <w:r>
              <w:rPr>
                <w:rFonts w:ascii="Avenir Next LT Pro" w:cs="Avenir Next LT Pro" w:eastAsia="Avenir Next LT Pro" w:hAnsi="Avenir Next LT Pro"/>
                <w:b w:val="false"/>
                <w:bCs w:val="false"/>
                <w:color w:val="1A1A1A"/>
                <w:sz w:val="18"/>
                <w:szCs w:val="18"/>
              </w:rPr>
              <w:t xml:space="preserve"/>
            </w:r>
          </w:p>
        </w:tc>
      </w:tr>
    </w:tbl>
    <w:p>
      <w:pPr>
        <w:spacing w:after="300"/>
      </w:pPr>
    </w:p>
    <w:p>
      <w:pPr>
        <w:spacing w:after="120" w:before="0" w:line="276"/>
        <w:jc w:val="center"/>
      </w:pPr>
      <w:r>
        <w:rPr>
          <w:rFonts w:ascii="Avenir Next LT Pro" w:cs="Avenir Next LT Pro" w:eastAsia="Avenir Next LT Pro" w:hAnsi="Avenir Next LT Pro"/>
          <w:i/>
          <w:iCs/>
          <w:color w:val="5C5955"/>
          <w:sz w:val="20"/>
          <w:szCs w:val="20"/>
        </w:rPr>
        <w:t xml:space="preserve">— End of document —</w:t>
      </w:r>
    </w:p>
    <w:sectPr>
      <w:headerReference w:type="default" r:id="rId7"/>
      <w:footerReference w:type="default" r:id="rId8"/>
      <w:pgSz w:w="11906" w:h="16838" w:orient="portrait"/>
      <w:pgMar w:top="1400" w:right="1080" w:bottom="1180" w:left="1080" w:header="560" w:footer="56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BB4" w:sz="6" w:space="6"/>
      </w:pBdr>
      <w:spacing w:before="80"/>
    </w:pPr>
    <w:r>
      <w:rPr>
        <w:rFonts w:ascii="Avenir Next LT Pro" w:cs="Avenir Next LT Pro" w:eastAsia="Avenir Next LT Pro" w:hAnsi="Avenir Next LT Pro"/>
        <w:color w:val="5C5955"/>
        <w:sz w:val="15"/>
        <w:szCs w:val="15"/>
      </w:rPr>
      <w:t xml:space="preserve">Strictly Confidential — property of Akiharu Scientific and Engineering. Do not distribute.   </w:t>
    </w:r>
    <w:r>
      <w:rPr>
        <w:rFonts w:ascii="Avenir Next LT Pro" w:cs="Avenir Next LT Pro" w:eastAsia="Avenir Next LT Pro" w:hAnsi="Avenir Next LT Pro"/>
        <w:color w:val="5C5955"/>
        <w:sz w:val="15"/>
        <w:szCs w:val="15"/>
      </w:rPr>
      <w:t xml:space="preserve">Page </w:t>
    </w:r>
    <w:r>
      <w:rPr>
        <w:rFonts w:ascii="Avenir Next LT Pro" w:cs="Avenir Next LT Pro" w:eastAsia="Avenir Next LT Pro" w:hAnsi="Avenir Next LT Pro"/>
        <w:color w:val="5C5955"/>
        <w:sz w:val="15"/>
        <w:szCs w:val="15"/>
      </w:rPr>
      <w:fldChar w:fldCharType="begin"/>
      <w:instrText xml:space="preserve">PAGE</w:instrText>
      <w:fldChar w:fldCharType="separate"/>
      <w:fldChar w:fldCharType="end"/>
    </w:r>
    <w:r>
      <w:rPr>
        <w:rFonts w:ascii="Avenir Next LT Pro" w:cs="Avenir Next LT Pro" w:eastAsia="Avenir Next LT Pro" w:hAnsi="Avenir Next LT Pro"/>
        <w:color w:val="5C5955"/>
        <w:sz w:val="15"/>
        <w:szCs w:val="15"/>
      </w:rPr>
      <w:t xml:space="preserve"> of </w:t>
    </w:r>
    <w:r>
      <w:rPr>
        <w:rFonts w:ascii="Avenir Next LT Pro" w:cs="Avenir Next LT Pro" w:eastAsia="Avenir Next LT Pro" w:hAnsi="Avenir Next LT Pro"/>
        <w:color w:val="5C5955"/>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746"/>
      <w:tblBorders>
        <w:top w:val="none"/>
        <w:left w:val="none"/>
        <w:bottom w:val="single" w:color="BFBBB4" w:sz="6"/>
        <w:right w:val="none"/>
        <w:insideH w:val="none"/>
        <w:insideV w:val="none"/>
      </w:tblBorders>
    </w:tblPr>
    <w:tblGrid>
      <w:gridCol w:w="900"/>
      <w:gridCol w:w="8846"/>
    </w:tblGrid>
    <w:tr>
      <w:tc>
        <w:tcPr>
          <w:tcW w:type="dxa" w:w="900"/>
          <w:tcMar>
            <w:top w:type="dxa" w:w="60"/>
            <w:left w:type="dxa" w:w="0"/>
            <w:bottom w:type="dxa" w:w="60"/>
            <w:right w:type="dxa" w:w="120"/>
          </w:tcMar>
          <w:vAlign w:val="center"/>
        </w:tcPr>
        <w:p>
          <w:pPr>
            <w:spacing w:after="0"/>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323850" cy="323850"/>
                        </a:xfrm>
                        <a:prstGeom prst="rect">
                          <a:avLst/>
                        </a:prstGeom>
                      </pic:spPr>
                    </pic:pic>
                  </a:graphicData>
                </a:graphic>
              </wp:inline>
            </w:drawing>
          </w:r>
        </w:p>
      </w:tc>
      <w:tc>
        <w:tcPr>
          <w:tcW w:type="dxa" w:w="8846"/>
          <w:tcMar>
            <w:top w:type="dxa" w:w="60"/>
            <w:left w:type="dxa" w:w="0"/>
            <w:bottom w:type="dxa" w:w="60"/>
            <w:right w:type="dxa" w:w="0"/>
          </w:tcMar>
          <w:vAlign w:val="center"/>
        </w:tcPr>
        <w:p>
          <w:pPr>
            <w:spacing w:after="0"/>
          </w:pPr>
          <w:r>
            <w:rPr>
              <w:rFonts w:ascii="Space Grotesk" w:cs="Space Grotesk" w:eastAsia="Space Grotesk" w:hAnsi="Space Grotesk"/>
              <w:b/>
              <w:bCs/>
              <w:color w:val="1A1A1A"/>
              <w:spacing w:val="10"/>
              <w:sz w:val="19"/>
              <w:szCs w:val="19"/>
            </w:rPr>
            <w:t xml:space="preserve">AKIHARU SCIENTIFIC AND ENGINEERING</w:t>
          </w:r>
        </w:p>
        <w:p>
          <w:pPr>
            <w:spacing w:after="0"/>
          </w:pPr>
          <w:r>
            <w:rPr>
              <w:rFonts w:ascii="Avenir Next LT Pro" w:cs="Avenir Next LT Pro" w:eastAsia="Avenir Next LT Pro" w:hAnsi="Avenir Next LT Pro"/>
              <w:b/>
              <w:bCs/>
              <w:color w:val="A63A17"/>
              <w:sz w:val="16"/>
              <w:szCs w:val="16"/>
            </w:rPr>
            <w:t xml:space="preserve">STRICTLY CONFIDENTIAL  —  VibScope Sensor Node Manufacturing Recipe</w:t>
          </w:r>
        </w:p>
      </w:tc>
    </w:tr>
  </w:tbl>
  <w:p>
    <w:pPr>
      <w:spacing w:after="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460" w:hanging="30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venir Next LT Pro" w:cs="Avenir Next LT Pro" w:eastAsia="Avenir Next LT Pro" w:hAnsi="Avenir Next LT Pro"/>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6694818feda075c6c18bb505e4ea645d4fd64b5.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d6694818feda075c6c18bb505e4ea645d4fd64b5.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VibScope Sensor Node — Manufacturing Recipe &amp; Design Record</dc:title>
  <dc:creator>Akiharu Scientific and Engineering</dc:creator>
  <dc:description>STRICTLY CONFIDENTIAL</dc:description>
  <cp:lastModifiedBy>Un-named</cp:lastModifiedBy>
  <cp:revision>1</cp:revision>
  <dcterms:created xsi:type="dcterms:W3CDTF">2026-07-29T11:59:57.000Z</dcterms:created>
  <dcterms:modified xsi:type="dcterms:W3CDTF">2026-07-29T11:59:57.001Z</dcterms:modified>
</cp:coreProperties>
</file>

<file path=docProps/custom.xml><?xml version="1.0" encoding="utf-8"?>
<Properties xmlns="http://schemas.openxmlformats.org/officeDocument/2006/custom-properties" xmlns:vt="http://schemas.openxmlformats.org/officeDocument/2006/docPropsVTypes"/>
</file>