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Statistical methods, equations and figure specifications</w:t>
      </w:r>
    </w:p>
    <w:p>
      <w:r>
        <w:rPr>
          <w:b/>
          <w:i w:val="0"/>
        </w:rPr>
        <w:t>Comparing learner reported breakdowns with measured model failure in Arabic generative AI use</w:t>
      </w:r>
    </w:p>
    <w:p>
      <w:r>
        <w:rPr>
          <w:b w:val="0"/>
          <w:i w:val="0"/>
        </w:rPr>
        <w:t>Companion document to the analysis code and released data bundle. Every equation below is the one actually implemented in the scripts, not a textbook substitute: where the code uses a particular computational form, that form is given. Script and function names are stated for each statistic so any number in the paper can be traced to the lines that produced it.</w:t>
      </w:r>
    </w:p>
    <w:p>
      <w:r>
        <w:rPr>
          <w:b w:val="0"/>
          <w:i/>
        </w:rPr>
        <w:t>Reproduced values quoted in this document were regenerated from the released data by running the shipped scripts.</w:t>
      </w:r>
    </w:p>
    <w:p>
      <w:pPr>
        <w:pStyle w:val="Heading1"/>
      </w:pPr>
      <w:r>
        <w:rPr>
          <w:color w:val="000000"/>
        </w:rPr>
        <w:t>Notation</w:t>
      </w:r>
    </w:p>
    <w:tbl>
      <w:tblPr>
        <w:tblStyle w:val="LightGrid-Accent1"/>
        <w:tblW w:type="auto" w:w="0"/>
        <w:jc w:val="center"/>
        <w:tblLook w:firstColumn="1" w:firstRow="1" w:lastColumn="0" w:lastRow="0" w:noHBand="0" w:noVBand="1" w:val="04A0"/>
      </w:tblPr>
      <w:tblGrid>
        <w:gridCol w:w="4320"/>
        <w:gridCol w:w="4320"/>
      </w:tblGrid>
      <w:tr>
        <w:tc>
          <w:tcPr>
            <w:tcW w:type="dxa" w:w="1584"/>
          </w:tcPr>
          <w:p>
            <w:r>
              <w:rPr>
                <w:b/>
                <w:sz w:val="18"/>
              </w:rPr>
              <w:t>Symbol</w:t>
            </w:r>
          </w:p>
        </w:tc>
        <w:tc>
          <w:tcPr>
            <w:tcW w:type="dxa" w:w="7488"/>
          </w:tcPr>
          <w:p>
            <w:r>
              <w:rPr>
                <w:b/>
                <w:sz w:val="18"/>
              </w:rPr>
              <w:t>Meaning</w:t>
            </w:r>
          </w:p>
        </w:tc>
      </w:tr>
      <w:tr>
        <w:tc>
          <w:tcPr>
            <w:tcW w:type="dxa" w:w="1584"/>
          </w:tcPr>
          <w:p>
            <w:r>
              <w:rPr>
                <w:sz w:val="18"/>
              </w:rPr>
              <w:t>n, N</w:t>
            </w:r>
          </w:p>
        </w:tc>
        <w:tc>
          <w:tcPr>
            <w:tcW w:type="dxa" w:w="7488"/>
          </w:tcPr>
          <w:p>
            <w:r>
              <w:rPr>
                <w:sz w:val="18"/>
              </w:rPr>
              <w:t>sample size (respondents, targets or replies, as stated per statistic)</w:t>
            </w:r>
          </w:p>
        </w:tc>
      </w:tr>
      <w:tr>
        <w:tc>
          <w:tcPr>
            <w:tcW w:type="dxa" w:w="1584"/>
          </w:tcPr>
          <w:p>
            <w:r>
              <w:rPr>
                <w:sz w:val="18"/>
              </w:rPr>
              <w:t>k</w:t>
            </w:r>
          </w:p>
        </w:tc>
        <w:tc>
          <w:tcPr>
            <w:tcW w:type="dxa" w:w="7488"/>
          </w:tcPr>
          <w:p>
            <w:r>
              <w:rPr>
                <w:sz w:val="18"/>
              </w:rPr>
              <w:t>number of levels, items or groups</w:t>
            </w:r>
          </w:p>
        </w:tc>
      </w:tr>
      <w:tr>
        <w:tc>
          <w:tcPr>
            <w:tcW w:type="dxa" w:w="1584"/>
          </w:tcPr>
          <w:p>
            <w:r>
              <w:rPr>
                <w:sz w:val="18"/>
              </w:rPr>
              <w:t>xᵢⱼ</w:t>
            </w:r>
          </w:p>
        </w:tc>
        <w:tc>
          <w:tcPr>
            <w:tcW w:type="dxa" w:w="7488"/>
          </w:tcPr>
          <w:p>
            <w:r>
              <w:rPr>
                <w:sz w:val="18"/>
              </w:rPr>
              <w:t>response of respondent i to item j, integer 1 to 5</w:t>
            </w:r>
          </w:p>
        </w:tc>
      </w:tr>
      <w:tr>
        <w:tc>
          <w:tcPr>
            <w:tcW w:type="dxa" w:w="1584"/>
          </w:tcPr>
          <w:p>
            <w:r>
              <w:rPr>
                <w:sz w:val="18"/>
              </w:rPr>
              <w:t>Cᵈ(i)</w:t>
            </w:r>
          </w:p>
        </w:tc>
        <w:tc>
          <w:tcPr>
            <w:tcW w:type="dxa" w:w="7488"/>
          </w:tcPr>
          <w:p>
            <w:r>
              <w:rPr>
                <w:sz w:val="18"/>
              </w:rPr>
              <w:t>composite score of respondent i on dimension d</w:t>
            </w:r>
          </w:p>
        </w:tc>
      </w:tr>
      <w:tr>
        <w:tc>
          <w:tcPr>
            <w:tcW w:type="dxa" w:w="1584"/>
          </w:tcPr>
          <w:p>
            <w:r>
              <w:rPr>
                <w:sz w:val="18"/>
              </w:rPr>
              <w:t>p̂</w:t>
            </w:r>
          </w:p>
        </w:tc>
        <w:tc>
          <w:tcPr>
            <w:tcW w:type="dxa" w:w="7488"/>
          </w:tcPr>
          <w:p>
            <w:r>
              <w:rPr>
                <w:sz w:val="18"/>
              </w:rPr>
              <w:t>observed proportion</w:t>
            </w:r>
          </w:p>
        </w:tc>
      </w:tr>
      <w:tr>
        <w:tc>
          <w:tcPr>
            <w:tcW w:type="dxa" w:w="1584"/>
          </w:tcPr>
          <w:p>
            <w:r>
              <w:rPr>
                <w:sz w:val="18"/>
              </w:rPr>
              <w:t>z</w:t>
            </w:r>
          </w:p>
        </w:tc>
        <w:tc>
          <w:tcPr>
            <w:tcW w:type="dxa" w:w="7488"/>
          </w:tcPr>
          <w:p>
            <w:r>
              <w:rPr>
                <w:sz w:val="18"/>
              </w:rPr>
              <w:t>standard normal quantile, 1.96 throughout</w:t>
            </w:r>
          </w:p>
        </w:tc>
      </w:tr>
      <w:tr>
        <w:tc>
          <w:tcPr>
            <w:tcW w:type="dxa" w:w="1584"/>
          </w:tcPr>
          <w:p>
            <w:r>
              <w:rPr>
                <w:sz w:val="18"/>
              </w:rPr>
              <w:t>κ</w:t>
            </w:r>
          </w:p>
        </w:tc>
        <w:tc>
          <w:tcPr>
            <w:tcW w:type="dxa" w:w="7488"/>
          </w:tcPr>
          <w:p>
            <w:r>
              <w:rPr>
                <w:sz w:val="18"/>
              </w:rPr>
              <w:t>Cohen's kappa</w:t>
            </w:r>
          </w:p>
        </w:tc>
      </w:tr>
      <w:tr>
        <w:tc>
          <w:tcPr>
            <w:tcW w:type="dxa" w:w="1584"/>
          </w:tcPr>
          <w:p>
            <w:r>
              <w:rPr>
                <w:sz w:val="18"/>
              </w:rPr>
              <w:t>α</w:t>
            </w:r>
          </w:p>
        </w:tc>
        <w:tc>
          <w:tcPr>
            <w:tcW w:type="dxa" w:w="7488"/>
          </w:tcPr>
          <w:p>
            <w:r>
              <w:rPr>
                <w:sz w:val="18"/>
              </w:rPr>
              <w:t>Cronbach's alpha</w:t>
            </w:r>
          </w:p>
        </w:tc>
      </w:tr>
      <w:tr>
        <w:tc>
          <w:tcPr>
            <w:tcW w:type="dxa" w:w="1584"/>
          </w:tcPr>
          <w:p>
            <w:r>
              <w:rPr>
                <w:sz w:val="18"/>
              </w:rPr>
              <w:t>η²</w:t>
            </w:r>
          </w:p>
        </w:tc>
        <w:tc>
          <w:tcPr>
            <w:tcW w:type="dxa" w:w="7488"/>
          </w:tcPr>
          <w:p>
            <w:r>
              <w:rPr>
                <w:sz w:val="18"/>
              </w:rPr>
              <w:t>eta squared, proportion of variance explained</w:t>
            </w:r>
          </w:p>
        </w:tc>
      </w:tr>
      <w:tr>
        <w:tc>
          <w:tcPr>
            <w:tcW w:type="dxa" w:w="1584"/>
          </w:tcPr>
          <w:p>
            <w:r>
              <w:rPr>
                <w:sz w:val="18"/>
              </w:rPr>
              <w:t>OR</w:t>
            </w:r>
          </w:p>
        </w:tc>
        <w:tc>
          <w:tcPr>
            <w:tcW w:type="dxa" w:w="7488"/>
          </w:tcPr>
          <w:p>
            <w:r>
              <w:rPr>
                <w:sz w:val="18"/>
              </w:rPr>
              <w:t>odds ratio</w:t>
            </w:r>
          </w:p>
        </w:tc>
      </w:tr>
      <w:tr>
        <w:tc>
          <w:tcPr>
            <w:tcW w:type="dxa" w:w="1584"/>
          </w:tcPr>
          <w:p>
            <w:r>
              <w:rPr>
                <w:sz w:val="18"/>
              </w:rPr>
              <w:t>AW, AP, PC, AS</w:t>
            </w:r>
          </w:p>
        </w:tc>
        <w:tc>
          <w:tcPr>
            <w:tcW w:type="dxa" w:w="7488"/>
          </w:tcPr>
          <w:p>
            <w:r>
              <w:rPr>
                <w:sz w:val="18"/>
              </w:rPr>
              <w:t>the four competency dimensions: Awareness and Availability, Functional Application, Prompting and Critical Appraisal, Aspiration and Vision</w:t>
            </w:r>
          </w:p>
        </w:tc>
      </w:tr>
      <w:tr>
        <w:tc>
          <w:tcPr>
            <w:tcW w:type="dxa" w:w="1584"/>
          </w:tcPr>
          <w:p>
            <w:r>
              <w:rPr>
                <w:sz w:val="18"/>
              </w:rPr>
              <w:t>T1 to T9</w:t>
            </w:r>
          </w:p>
        </w:tc>
        <w:tc>
          <w:tcPr>
            <w:tcW w:type="dxa" w:w="7488"/>
          </w:tcPr>
          <w:p>
            <w:r>
              <w:rPr>
                <w:sz w:val="18"/>
              </w:rPr>
              <w:t>the nine breakdown themes from the open-response coding</w:t>
            </w:r>
          </w:p>
        </w:tc>
      </w:tr>
    </w:tbl>
    <w:p>
      <w:pPr>
        <w:pStyle w:val="Heading1"/>
      </w:pPr>
      <w:r>
        <w:rPr>
          <w:color w:val="000000"/>
        </w:rPr>
        <w:t>Part A. Survey statistics</w:t>
      </w:r>
    </w:p>
    <w:p>
      <w:r>
        <w:rPr>
          <w:b w:val="0"/>
          <w:i w:val="0"/>
        </w:rPr>
        <w:t>All of Part A is implemented in code/01_survey_analysis.py except reliability and correlations, which are read from results/results_subscale_reliability.csv and results/results_dimension_correlations.csv and plotted by code/06_figures_extra.py.</w:t>
      </w:r>
    </w:p>
    <w:p>
      <w:pPr>
        <w:pStyle w:val="Heading2"/>
      </w:pPr>
      <w:r>
        <w:rPr>
          <w:color w:val="000000"/>
        </w:rPr>
        <w:t>A1. Composite dimension scores</w:t>
      </w:r>
    </w:p>
    <w:p>
      <w:r>
        <w:rPr>
          <w:b/>
        </w:rPr>
        <w:t xml:space="preserve">Function: </w:t>
      </w:r>
      <w:r>
        <w:t>composites() in 01_survey_analysis.py</w:t>
      </w:r>
    </w:p>
    <w:p>
      <w:r>
        <w:rPr>
          <w:b w:val="0"/>
          <w:i w:val="0"/>
        </w:rPr>
        <w:t>Each respondent's score on a dimension is the mean of the items they answered on that dimension. Missing items are skipped rather than imputed, so the denominator is the number of items actually observed for that respondent.</w:t>
      </w:r>
    </w:p>
    <w:p>
      <w:pPr>
        <w:spacing w:before="80" w:after="80"/>
        <w:jc w:val="center"/>
      </w:pPr>
      <w:r>
        <w:rPr>
          <w:rFonts w:ascii="Cambria Math" w:hAnsi="Cambria Math"/>
          <w:sz w:val="22"/>
        </w:rPr>
        <w:t>Cᵈ(i) = ( 1 / |Iᵈᵒᵇˢ(i)| ) · Σⱼ₊ᵢᵈᵒᵇˢ₍ᵢ₎  xᵢⱼ</w:t>
      </w:r>
    </w:p>
    <w:p>
      <w:pPr>
        <w:spacing w:before="80" w:after="80"/>
        <w:jc w:val="center"/>
      </w:pPr>
      <w:r>
        <w:rPr>
          <w:rFonts w:ascii="Cambria Math" w:hAnsi="Cambria Math"/>
          <w:sz w:val="22"/>
        </w:rPr>
        <w:t>Cₒᵥₑᵣₐˡˡ(i) = ( 1 / 4 ) · Σᵈ Cᵈ(i),   d ∈ {AW, AP, PC, AS}</w:t>
      </w:r>
    </w:p>
    <w:p>
      <w:r>
        <w:rPr>
          <w:b w:val="0"/>
          <w:i w:val="0"/>
        </w:rPr>
        <w:t>Item counts per dimension: AW 6, AP 8, PC 6, AS 8, for 28 Likert items in total. Reported dimension means (SD): AW 2.76 (0.89), AP 2.97 (0.85), PC 3.37 (0.73), AS 4.07 (0.84).</w:t>
      </w:r>
    </w:p>
    <w:p>
      <w:pPr>
        <w:pStyle w:val="Heading2"/>
      </w:pPr>
      <w:r>
        <w:rPr>
          <w:color w:val="000000"/>
        </w:rPr>
        <w:t>A2. Internal consistency and item-total correlation</w:t>
      </w:r>
    </w:p>
    <w:p>
      <w:r>
        <w:rPr>
          <w:b/>
        </w:rPr>
        <w:t xml:space="preserve">Source: </w:t>
      </w:r>
      <w:r>
        <w:t>results/results_subscale_reliability.csv</w:t>
      </w:r>
    </w:p>
    <w:p>
      <w:r>
        <w:rPr>
          <w:b w:val="0"/>
          <w:i w:val="0"/>
        </w:rPr>
        <w:t>Cronbach's alpha over the k items of a subscale, where sⱼ² is the variance of item j and sₜ² the variance of the summed scale:</w:t>
      </w:r>
    </w:p>
    <w:p>
      <w:pPr>
        <w:spacing w:before="80" w:after="80"/>
        <w:jc w:val="center"/>
      </w:pPr>
      <w:r>
        <w:rPr>
          <w:rFonts w:ascii="Cambria Math" w:hAnsi="Cambria Math"/>
          <w:sz w:val="22"/>
        </w:rPr>
        <w:t>α = ( k / (k − 1) ) · ( 1 − Σⱼ sⱼ² / sₜ² )</w:t>
      </w:r>
    </w:p>
    <w:p>
      <w:r>
        <w:rPr>
          <w:b w:val="0"/>
          <w:i w:val="0"/>
        </w:rPr>
        <w:t>The mean item-total correlation is the average over items of the Pearson correlation between item j and the sum of the remaining items of the same subscale (corrected item-total, so item j is excluded from its own criterion):</w:t>
      </w:r>
    </w:p>
    <w:p>
      <w:pPr>
        <w:spacing w:before="80" w:after="80"/>
        <w:jc w:val="center"/>
      </w:pPr>
      <w:r>
        <w:rPr>
          <w:rFonts w:ascii="Cambria Math" w:hAnsi="Cambria Math"/>
          <w:sz w:val="22"/>
        </w:rPr>
        <w:t>r̄ᵢₜ = ( 1 / k ) · Σⱼ  corr( xⱼ , Σₗ₊ⱼ xₗ )</w:t>
      </w:r>
    </w:p>
    <w:p>
      <w:r>
        <w:rPr>
          <w:b w:val="0"/>
          <w:i w:val="0"/>
        </w:rPr>
        <w:t>Obtained: AW α = .885 (6 items, n = 142), AP α = .897 (8 items, n = 138), PC α = .812 (6 items, n = 142), AS α = .943 (8 items, n = 143). All exceed the conventional .70 floor drawn on the figure.</w:t>
      </w:r>
    </w:p>
    <w:p>
      <w:pPr>
        <w:pStyle w:val="Heading2"/>
      </w:pPr>
      <w:r>
        <w:rPr>
          <w:color w:val="000000"/>
        </w:rPr>
        <w:t>A3. Aspiration versus functional application: paired t test and effect size</w:t>
      </w:r>
    </w:p>
    <w:p>
      <w:r>
        <w:rPr>
          <w:b/>
        </w:rPr>
        <w:t xml:space="preserve">Function: </w:t>
      </w:r>
      <w:r>
        <w:t>stats.ttest_rel in 01_survey_analysis.py</w:t>
      </w:r>
    </w:p>
    <w:p>
      <w:r>
        <w:rPr>
          <w:b w:val="0"/>
          <w:i w:val="0"/>
        </w:rPr>
        <w:t>The comparison is paired within respondent on the subset with both composites present (n = 144). With Dᵢ = AS(i) − AP(i):</w:t>
      </w:r>
    </w:p>
    <w:p>
      <w:pPr>
        <w:spacing w:before="80" w:after="80"/>
        <w:jc w:val="center"/>
      </w:pPr>
      <w:r>
        <w:rPr>
          <w:rFonts w:ascii="Cambria Math" w:hAnsi="Cambria Math"/>
          <w:sz w:val="22"/>
        </w:rPr>
        <w:t>t = D̄ / ( sᴅ / √n ),   df = n − 1</w:t>
      </w:r>
    </w:p>
    <w:p>
      <w:pPr>
        <w:spacing w:before="80" w:after="80"/>
        <w:jc w:val="center"/>
      </w:pPr>
      <w:r>
        <w:rPr>
          <w:rFonts w:ascii="Cambria Math" w:hAnsi="Cambria Math"/>
          <w:sz w:val="22"/>
        </w:rPr>
        <w:t>dᶻ = D̄ / sᴅ</w:t>
      </w:r>
    </w:p>
    <w:p>
      <w:r>
        <w:rPr>
          <w:b w:val="0"/>
          <w:i w:val="0"/>
        </w:rPr>
        <w:t>Obtained: D̄ = 1.1052 scale points, t(143) = 13.6846, p = 8.96 × 10⁻²⁸, dᶻ = 1.14. Note that the headline gap of 1.11 points is the paired mean difference, not the difference of the two rounded marginal means; 05_figures.py reads it from the saved statistics file for exactly this reason.</w:t>
      </w:r>
    </w:p>
    <w:p>
      <w:pPr>
        <w:pStyle w:val="Heading2"/>
      </w:pPr>
      <w:r>
        <w:rPr>
          <w:color w:val="000000"/>
        </w:rPr>
        <w:t>A4. Repeated-measures ANOVA across the four dimensions</w:t>
      </w:r>
    </w:p>
    <w:p>
      <w:r>
        <w:rPr>
          <w:b/>
        </w:rPr>
        <w:t xml:space="preserve">Function: </w:t>
      </w:r>
      <w:r>
        <w:t>rm_anova() in 01_survey_analysis.py, hand-coded sum-of-squares decomposition</w:t>
      </w:r>
    </w:p>
    <w:p>
      <w:r>
        <w:rPr>
          <w:b w:val="0"/>
          <w:i w:val="0"/>
        </w:rPr>
        <w:t>Complete cases across all four composites only (n = 144, k = 4). With Cₖᵢ the score of respondent i on dimension k, C̄ the grand mean, C̄ₖ the dimension mean and C̄ᵢ the respondent mean:</w:t>
      </w:r>
    </w:p>
    <w:p>
      <w:pPr>
        <w:spacing w:before="80" w:after="80"/>
        <w:jc w:val="center"/>
      </w:pPr>
      <w:r>
        <w:rPr>
          <w:rFonts w:ascii="Cambria Math" w:hAnsi="Cambria Math"/>
          <w:sz w:val="22"/>
        </w:rPr>
        <w:t>SS_condition = n · Σₖ ( C̄ₖ − C̄ )²</w:t>
      </w:r>
    </w:p>
    <w:p>
      <w:pPr>
        <w:spacing w:before="80" w:after="80"/>
        <w:jc w:val="center"/>
      </w:pPr>
      <w:r>
        <w:rPr>
          <w:rFonts w:ascii="Cambria Math" w:hAnsi="Cambria Math"/>
          <w:sz w:val="22"/>
        </w:rPr>
        <w:t>SS_subject   = k · Σᵢ ( C̄ᵢ − C̄ )²</w:t>
      </w:r>
    </w:p>
    <w:p>
      <w:pPr>
        <w:spacing w:before="80" w:after="80"/>
        <w:jc w:val="center"/>
      </w:pPr>
      <w:r>
        <w:rPr>
          <w:rFonts w:ascii="Cambria Math" w:hAnsi="Cambria Math"/>
          <w:sz w:val="22"/>
        </w:rPr>
        <w:t>SS_error     = Σᵢ Σₖ ( Cₖᵢ − C̄ )² − SS_condition − SS_subject</w:t>
      </w:r>
    </w:p>
    <w:p>
      <w:pPr>
        <w:spacing w:before="80" w:after="80"/>
        <w:jc w:val="center"/>
      </w:pPr>
      <w:r>
        <w:rPr>
          <w:rFonts w:ascii="Cambria Math" w:hAnsi="Cambria Math"/>
          <w:sz w:val="22"/>
        </w:rPr>
        <w:t>F = ( SS_condition / (k − 1) ) / ( SS_error / ((k − 1)(n − 1)) )</w:t>
      </w:r>
    </w:p>
    <w:p>
      <w:r>
        <w:rPr>
          <w:b w:val="0"/>
          <w:i w:val="0"/>
        </w:rPr>
        <w:t>Obtained: F(3, 429) = 115.53.</w:t>
      </w:r>
    </w:p>
    <w:p>
      <w:r>
        <w:rPr>
          <w:b w:val="0"/>
          <w:i w:val="0"/>
          <w:color w:val="C00000"/>
        </w:rPr>
        <w:t>Sphericity was not assessed and no Greenhouse-Geisser or Huynh-Feldt correction was applied. With four repeated levels this is a real assumption; if a reviewer raises it, the correction is a one-line change using statsmodels AnovaRM.</w:t>
      </w:r>
    </w:p>
    <w:p>
      <w:pPr>
        <w:pStyle w:val="Heading2"/>
      </w:pPr>
      <w:r>
        <w:rPr>
          <w:color w:val="000000"/>
        </w:rPr>
        <w:t>A5. Competency by stance: between-groups ANOVA, effect size and rank-based check</w:t>
      </w:r>
    </w:p>
    <w:p>
      <w:r>
        <w:rPr>
          <w:b/>
        </w:rPr>
        <w:t xml:space="preserve">Functions: </w:t>
      </w:r>
      <w:r>
        <w:t>stats.f_oneway and stats.kruskal in 01_survey_analysis.py</w:t>
      </w:r>
    </w:p>
    <w:p>
      <w:r>
        <w:rPr>
          <w:b w:val="0"/>
          <w:i w:val="0"/>
        </w:rPr>
        <w:t>Respondents whose Q4 response carried a codable stance (dependency, conditional, innovation) are compared on overall competency. Groups: dependency n = 28, conditional n = 72, innovation n = 35, for N = 135; 10 respondents had no codable stance.</w:t>
      </w:r>
    </w:p>
    <w:p>
      <w:pPr>
        <w:spacing w:before="80" w:after="80"/>
        <w:jc w:val="center"/>
      </w:pPr>
      <w:r>
        <w:rPr>
          <w:rFonts w:ascii="Cambria Math" w:hAnsi="Cambria Math"/>
          <w:sz w:val="22"/>
        </w:rPr>
        <w:t>F = [ Σ_g n_g ( ȳ_g − ȳ )² / (k − 1) ] / [ Σ_g Σᵢ ( y_gi − ȳ_g )² / (N − k) ]</w:t>
      </w:r>
    </w:p>
    <w:p>
      <w:r>
        <w:rPr>
          <w:b w:val="0"/>
          <w:i w:val="0"/>
        </w:rPr>
        <w:t>Eta squared is computed in the code from F rather than from the sums of squares directly; the two are algebraically identical for a one-way design:</w:t>
      </w:r>
    </w:p>
    <w:p>
      <w:pPr>
        <w:spacing w:before="80" w:after="80"/>
        <w:jc w:val="center"/>
      </w:pPr>
      <w:r>
        <w:rPr>
          <w:rFonts w:ascii="Cambria Math" w:hAnsi="Cambria Math"/>
          <w:sz w:val="22"/>
        </w:rPr>
        <w:t>η² = F (k − 1) / [ F (k − 1) + (N − k) ]</w:t>
      </w:r>
    </w:p>
    <w:p>
      <w:r>
        <w:rPr>
          <w:b w:val="0"/>
          <w:i w:val="0"/>
        </w:rPr>
        <w:t>The rank-based confirmation is the Kruskal-Wallis H statistic, with R̄_g the mean rank of group g in the pooled ranking:</w:t>
      </w:r>
    </w:p>
    <w:p>
      <w:pPr>
        <w:spacing w:before="80" w:after="80"/>
        <w:jc w:val="center"/>
      </w:pPr>
      <w:r>
        <w:rPr>
          <w:rFonts w:ascii="Cambria Math" w:hAnsi="Cambria Math"/>
          <w:sz w:val="22"/>
        </w:rPr>
        <w:t>H = ( 12 / (N (N + 1)) ) · Σ_g n_g ( R̄_g − (N + 1) / 2 )²</w:t>
      </w:r>
    </w:p>
    <w:p>
      <w:r>
        <w:rPr>
          <w:b w:val="0"/>
          <w:i w:val="0"/>
        </w:rPr>
        <w:t>Obtained: F(2, 132) = 17.76, p = 1.48 × 10⁻⁷, η² = .212; H = 24.80, p = 4.11 × 10⁻⁶. Group means: dependency 2.77, conditional 3.41, innovation 3.55.</w:t>
      </w:r>
    </w:p>
    <w:p>
      <w:pPr>
        <w:pStyle w:val="Heading2"/>
      </w:pPr>
      <w:r>
        <w:rPr>
          <w:color w:val="000000"/>
        </w:rPr>
        <w:t>A6. Inter-dimension correlations and their significance</w:t>
      </w:r>
    </w:p>
    <w:p>
      <w:r>
        <w:rPr>
          <w:b/>
        </w:rPr>
        <w:t xml:space="preserve">Source: </w:t>
      </w:r>
      <w:r>
        <w:t>results/results_dimension_correlations.csv, starred in 06_figures_extra.py</w:t>
      </w:r>
    </w:p>
    <w:p>
      <w:r>
        <w:rPr>
          <w:b w:val="0"/>
          <w:i w:val="0"/>
        </w:rPr>
        <w:t>Pairwise Pearson correlation between dimension composites:</w:t>
      </w:r>
    </w:p>
    <w:p>
      <w:pPr>
        <w:spacing w:before="80" w:after="80"/>
        <w:jc w:val="center"/>
      </w:pPr>
      <w:r>
        <w:rPr>
          <w:rFonts w:ascii="Cambria Math" w:hAnsi="Cambria Math"/>
          <w:sz w:val="22"/>
        </w:rPr>
        <w:t>r = Σᵢ (xᵢ − x̄)(yᵢ − ȳ) / √[ Σᵢ (xᵢ − x̄)² · Σᵢ (yᵢ − ȳ)² ]</w:t>
      </w:r>
    </w:p>
    <w:p>
      <w:r>
        <w:rPr>
          <w:b w:val="0"/>
          <w:i w:val="0"/>
        </w:rPr>
        <w:t>Significance stars on the figure come from the standard t transform, two-sided, with n taken as the smallest pairwise-complete count across subscales:</w:t>
      </w:r>
    </w:p>
    <w:p>
      <w:pPr>
        <w:spacing w:before="80" w:after="80"/>
        <w:jc w:val="center"/>
      </w:pPr>
      <w:r>
        <w:rPr>
          <w:rFonts w:ascii="Cambria Math" w:hAnsi="Cambria Math"/>
          <w:sz w:val="22"/>
        </w:rPr>
        <w:t>t = r · √( (n − 2) / (1 − r²) ),   df = n − 2</w:t>
      </w:r>
    </w:p>
    <w:p>
      <w:r>
        <w:rPr>
          <w:b w:val="0"/>
          <w:i w:val="0"/>
        </w:rPr>
        <w:t>Obtained: AW-AP .64, AW-PC .44, AW-AS .12 (not significant), AP-PC .51, AP-AS .34, PC-AS .39. The uncoupling of aspiration from awareness is the point of the panel.</w:t>
      </w:r>
    </w:p>
    <w:p>
      <w:pPr>
        <w:pStyle w:val="Heading2"/>
      </w:pPr>
      <w:r>
        <w:rPr>
          <w:color w:val="000000"/>
        </w:rPr>
        <w:t>A7. Inter-coder agreement per theme</w:t>
      </w:r>
    </w:p>
    <w:p>
      <w:r>
        <w:rPr>
          <w:b/>
        </w:rPr>
        <w:t xml:space="preserve">Sources: </w:t>
      </w:r>
      <w:r>
        <w:t>results/barrier_theme_reliability.csv (first pass) and results/barrier_theme_reliability_v2.csv (post-adjudication)</w:t>
      </w:r>
    </w:p>
    <w:p>
      <w:r>
        <w:rPr>
          <w:b w:val="0"/>
          <w:i w:val="0"/>
        </w:rPr>
        <w:t>Each theme is a binary presence or absence judgement per coded unit, so agreement is computed on a 2 × 2 table per theme. With pₒ the observed proportion of agreement and pₑ the proportion expected from the coders' marginals:</w:t>
      </w:r>
    </w:p>
    <w:p>
      <w:pPr>
        <w:spacing w:before="80" w:after="80"/>
        <w:jc w:val="center"/>
      </w:pPr>
      <w:r>
        <w:rPr>
          <w:rFonts w:ascii="Cambria Math" w:hAnsi="Cambria Math"/>
          <w:sz w:val="22"/>
        </w:rPr>
        <w:t>pₑ = Pₐ(1) Pᵇ(1) + Pₐ(0) Pᵇ(0)</w:t>
      </w:r>
    </w:p>
    <w:p>
      <w:pPr>
        <w:spacing w:before="80" w:after="80"/>
        <w:jc w:val="center"/>
      </w:pPr>
      <w:r>
        <w:rPr>
          <w:rFonts w:ascii="Cambria Math" w:hAnsi="Cambria Math"/>
          <w:sz w:val="22"/>
        </w:rPr>
        <w:t>κ = ( pₒ − pₑ ) / ( 1 − pₑ )</w:t>
      </w:r>
    </w:p>
    <w:p>
      <w:r>
        <w:rPr>
          <w:b w:val="0"/>
          <w:i w:val="0"/>
          <w:color w:val="C00000"/>
        </w:rPr>
        <w:t>Two sets of kappas exist in the bundle and they are not interchangeable. First-pass values range from κ = .36 to 1.00 and are low for the largest theme (T1 inaccurate output, κ = .429). Post-adjudication values range from κ = .72 to 1.00 (T1 = .873). fig_survey_barriers.png plots the post-adjudication values, labelled simply as coder agreement. Decide which set the paper reports and make the figure label and the text say the same thing.</w:t>
      </w:r>
    </w:p>
    <w:p>
      <w:pPr>
        <w:pStyle w:val="Heading2"/>
      </w:pPr>
      <w:r>
        <w:rPr>
          <w:color w:val="000000"/>
        </w:rPr>
        <w:t>A8. Theme prevalence and the substantive-response rule</w:t>
      </w:r>
    </w:p>
    <w:p>
      <w:r>
        <w:rPr>
          <w:b/>
        </w:rPr>
        <w:t xml:space="preserve">Functions: </w:t>
      </w:r>
      <w:r>
        <w:t>substantive() in 01_survey_analysis.py; results/barrier_theme_prevalence.csv</w:t>
      </w:r>
    </w:p>
    <w:p>
      <w:r>
        <w:rPr>
          <w:b w:val="0"/>
          <w:i w:val="0"/>
        </w:rPr>
        <w:t>A response enters the barrier corpus if it is not blank, not bare punctuation, and not a bare affirmative or negative drawn from an explicit stop list, after whitespace collapse and trimming of Arabic and Latin terminal punctuation, and is at least three characters long. A respondent qualifies if either Q2 or Q6 is substantive. This yields the denominator of 141 used for every reported prevalence.</w:t>
      </w:r>
    </w:p>
    <w:p>
      <w:pPr>
        <w:spacing w:before="80" w:after="80"/>
        <w:jc w:val="center"/>
      </w:pPr>
      <w:r>
        <w:rPr>
          <w:rFonts w:ascii="Cambria Math" w:hAnsi="Cambria Math"/>
          <w:sz w:val="22"/>
        </w:rPr>
        <w:t>prevalence_t (%) = 100 · | { i : theme t coded for i } | / 141</w:t>
      </w:r>
    </w:p>
    <w:p>
      <w:r>
        <w:rPr>
          <w:b w:val="0"/>
          <w:i w:val="0"/>
        </w:rPr>
        <w:t>Obtained: T1 inaccurate output 71.6, T2 Arabic grammar and morphology 48.2, T4 fabricated or missing references 16.3, T5 prompting and appraisal skill 14.2, T3 hallucinated literary attribution 8.5, T6 few Arabic tools 6.4, T8 cost or connectivity 6.4, T7 institutional resistance 2.1.</w:t>
      </w:r>
    </w:p>
    <w:p>
      <w:pPr>
        <w:pStyle w:val="Heading2"/>
      </w:pPr>
      <w:r>
        <w:rPr>
          <w:color w:val="000000"/>
        </w:rPr>
        <w:t>A9. Theme co-occurrence matrix</w:t>
      </w:r>
    </w:p>
    <w:p>
      <w:r>
        <w:rPr>
          <w:b/>
        </w:rPr>
        <w:t xml:space="preserve">Source: </w:t>
      </w:r>
      <w:r>
        <w:t>results/results_theme_cooccurrence.csv</w:t>
      </w:r>
    </w:p>
    <w:p>
      <w:r>
        <w:rPr>
          <w:b w:val="0"/>
          <w:i w:val="0"/>
        </w:rPr>
        <w:t>The matrix is row-conditional, not symmetric: cell (s, t) is the percentage of respondents who reported theme s who also reported theme t. Rₛ is the set of respondents reporting theme s.</w:t>
      </w:r>
    </w:p>
    <w:p>
      <w:pPr>
        <w:spacing w:before="80" w:after="80"/>
        <w:jc w:val="center"/>
      </w:pPr>
      <w:r>
        <w:rPr>
          <w:rFonts w:ascii="Cambria Math" w:hAnsi="Cambria Math"/>
          <w:sz w:val="22"/>
        </w:rPr>
        <w:t>Mₛₜ = 100 · | Rₛ ∩ Rₜ | / | Rₛ |</w:t>
      </w:r>
    </w:p>
    <w:p>
      <w:r>
        <w:rPr>
          <w:b w:val="0"/>
          <w:i w:val="0"/>
        </w:rPr>
        <w:t>Diagonal cells are 100 by construction. Reading the matrix the wrong way round reverses the asymmetry that the panel exists to show.</w:t>
      </w:r>
    </w:p>
    <w:p>
      <w:pPr>
        <w:pStyle w:val="Heading2"/>
      </w:pPr>
      <w:r>
        <w:rPr>
          <w:color w:val="000000"/>
        </w:rPr>
        <w:t>A10. Superordinate-theme test</w:t>
      </w:r>
    </w:p>
    <w:p>
      <w:r>
        <w:rPr>
          <w:b/>
        </w:rPr>
        <w:t xml:space="preserve">Source: </w:t>
      </w:r>
      <w:r>
        <w:t>results/results_superordinate_test.csv</w:t>
      </w:r>
    </w:p>
    <w:p>
      <w:r>
        <w:rPr>
          <w:b w:val="0"/>
          <w:i w:val="0"/>
        </w:rPr>
        <w:t>For each specific theme t, a 2 × 2 table of reporting t against reporting the generic theme T1 gives the odds ratio, with Fisher's exact test for the p value and the conditional maximum-likelihood interval:</w:t>
      </w:r>
    </w:p>
    <w:p>
      <w:pPr>
        <w:spacing w:before="80" w:after="80"/>
        <w:jc w:val="center"/>
      </w:pPr>
      <w:r>
        <w:rPr>
          <w:rFonts w:ascii="Cambria Math" w:hAnsi="Cambria Math"/>
          <w:sz w:val="22"/>
        </w:rPr>
        <w:t>OR = ( a · d ) / ( b · c )</w:t>
      </w:r>
    </w:p>
    <w:p>
      <w:r>
        <w:rPr>
          <w:b w:val="0"/>
          <w:i w:val="0"/>
        </w:rPr>
        <w:t>where a and b are respondents reporting and not reporting t among those who reported T1, and c and d the same among those who did not. Every interval covers 1 (T2 OR 0.51, 95% CI 0.23 to 1.15, p = .094 being the closest), which is the basis for the claim that generic inaccuracy does not predict any specific theme.</w:t>
      </w:r>
    </w:p>
    <w:p>
      <w:pPr>
        <w:pStyle w:val="Heading2"/>
      </w:pPr>
      <w:r>
        <w:rPr>
          <w:color w:val="000000"/>
        </w:rPr>
        <w:t>A11. Calibration models</w:t>
      </w:r>
    </w:p>
    <w:p>
      <w:r>
        <w:rPr>
          <w:b/>
        </w:rPr>
        <w:t xml:space="preserve">Function: </w:t>
      </w:r>
      <w:r>
        <w:t>sm.Logit in 01_survey_analysis.py</w:t>
      </w:r>
    </w:p>
    <w:p>
      <w:r>
        <w:rPr>
          <w:b w:val="0"/>
          <w:i w:val="0"/>
        </w:rPr>
        <w:t>Two logistic regressions ask whether a student's appraisal skill predicts whether they name the breakdown that models actually fail. The outcome is reporting theme T4 (fabricated references) in one model and T2 (Arabic grammar) in the other; PC is the appraisal composite, prior is a binary indicator of prior AI training, heavy a binary indicator of weekly use in the two highest bands.</w:t>
      </w:r>
    </w:p>
    <w:p>
      <w:pPr>
        <w:spacing w:before="80" w:after="80"/>
        <w:jc w:val="center"/>
      </w:pPr>
      <w:r>
        <w:rPr>
          <w:rFonts w:ascii="Cambria Math" w:hAnsi="Cambria Math"/>
          <w:sz w:val="22"/>
        </w:rPr>
        <w:t>logit P(T = 1) = β₀ + β₁ · PC + β₂ · prior + β₃ · heavy</w:t>
      </w:r>
    </w:p>
    <w:p>
      <w:pPr>
        <w:spacing w:before="80" w:after="80"/>
        <w:jc w:val="center"/>
      </w:pPr>
      <w:r>
        <w:rPr>
          <w:rFonts w:ascii="Cambria Math" w:hAnsi="Cambria Math"/>
          <w:sz w:val="22"/>
        </w:rPr>
        <w:t>OR_PC = exp(β₁)</w:t>
      </w:r>
    </w:p>
    <w:p>
      <w:pPr>
        <w:spacing w:before="80" w:after="80"/>
        <w:jc w:val="center"/>
      </w:pPr>
      <w:r>
        <w:rPr>
          <w:rFonts w:ascii="Cambria Math" w:hAnsi="Cambria Math"/>
          <w:sz w:val="22"/>
        </w:rPr>
        <w:t>pseudo R² (McFadden) = 1 − ℓ(β̂) / ℓ(β₀)</w:t>
      </w:r>
    </w:p>
    <w:p>
      <w:r>
        <w:rPr>
          <w:b w:val="0"/>
          <w:i w:val="0"/>
          <w:color w:val="C00000"/>
        </w:rPr>
        <w:t>The shipped script does not reproduce the odds ratios reported in the manuscript. Running 01_survey_analysis.py on the released data returns OR_PC = 1.81, p = .032, pseudo R² = .051 for T2 and OR_PC = 1.59, p = .215, pseudo R² = .014 for T4, both at n = 140. The manuscript reports 1.56 and 1.54, which match results/results_calibration_models_v2.csv (T2 OR 1.56, 95% CI 0.94 to 2.58, p = .086; T4 OR 1.54, 95% CI 0.77 to 3.06, p = .220). The published model therefore differs from the shipped one, most likely in its covariates or its denominator. Resolve this before the repository goes public: a reader who runs the script will get a significant T2 coefficient where the paper reports a non-significant one.</w:t>
      </w:r>
    </w:p>
    <w:p>
      <w:pPr>
        <w:pStyle w:val="Heading1"/>
      </w:pPr>
      <w:r>
        <w:rPr>
          <w:color w:val="000000"/>
        </w:rPr>
        <w:t>Part B. Model evaluation statistics</w:t>
      </w:r>
    </w:p>
    <w:p>
      <w:pPr>
        <w:pStyle w:val="Heading2"/>
      </w:pPr>
      <w:r>
        <w:rPr>
          <w:color w:val="000000"/>
        </w:rPr>
        <w:t>B1. Probe 1 accuracy on the gold treebank</w:t>
      </w:r>
    </w:p>
    <w:p>
      <w:r>
        <w:rPr>
          <w:b/>
        </w:rPr>
        <w:t xml:space="preserve">Function: </w:t>
      </w:r>
      <w:r>
        <w:t>score() in 02_probe_morphosyntax.py</w:t>
      </w:r>
    </w:p>
    <w:p>
      <w:r>
        <w:rPr>
          <w:b w:val="0"/>
          <w:i w:val="0"/>
        </w:rPr>
        <w:t>Each of 150 sampled targets per model carries a gold universal part-of-speech tag and a gold case label from UD Arabic-PADT. Three accuracies are computed per model over the n targets:</w:t>
      </w:r>
    </w:p>
    <w:p>
      <w:pPr>
        <w:spacing w:before="80" w:after="80"/>
        <w:jc w:val="center"/>
      </w:pPr>
      <w:r>
        <w:rPr>
          <w:rFonts w:ascii="Cambria Math" w:hAnsi="Cambria Math"/>
          <w:sz w:val="22"/>
        </w:rPr>
        <w:t>pos_acc = 100 · Σᵢ 1[ upoŝᵢ = uposᵢ ] / n</w:t>
      </w:r>
    </w:p>
    <w:p>
      <w:pPr>
        <w:spacing w:before="80" w:after="80"/>
        <w:jc w:val="center"/>
      </w:pPr>
      <w:r>
        <w:rPr>
          <w:rFonts w:ascii="Cambria Math" w:hAnsi="Cambria Math"/>
          <w:sz w:val="22"/>
        </w:rPr>
        <w:t>case_acc = 100 · Σᵢ 1[ casêᵢ = caseᵢ ] / n</w:t>
      </w:r>
    </w:p>
    <w:p>
      <w:pPr>
        <w:spacing w:before="80" w:after="80"/>
        <w:jc w:val="center"/>
      </w:pPr>
      <w:r>
        <w:rPr>
          <w:rFonts w:ascii="Cambria Math" w:hAnsi="Cambria Math"/>
          <w:sz w:val="22"/>
        </w:rPr>
        <w:t>both_ok = 100 · Σᵢ 1[ upoŝᵢ = uposᵢ ∧ casêᵢ = caseᵢ ] / n</w:t>
      </w:r>
    </w:p>
    <w:p>
      <w:r>
        <w:rPr>
          <w:b w:val="0"/>
          <w:i w:val="0"/>
        </w:rPr>
        <w:t>An unparseable return counts as incorrect, not as missing. Obtained case accuracy: Opus 4.5 80.0%, Sonnet 4.6 74.0%, Sonnet 4.5 68.7%, Haiku 4.5 64.0%, with no unparsed returns for any model.</w:t>
      </w:r>
    </w:p>
    <w:p>
      <w:pPr>
        <w:pStyle w:val="Heading2"/>
      </w:pPr>
      <w:r>
        <w:rPr>
          <w:color w:val="000000"/>
        </w:rPr>
        <w:t>B2. Wilson score interval</w:t>
      </w:r>
    </w:p>
    <w:p>
      <w:r>
        <w:rPr>
          <w:b/>
        </w:rPr>
        <w:t xml:space="preserve">Function: </w:t>
      </w:r>
      <w:r>
        <w:t>wilson() in 02_probe_morphosyntax.py</w:t>
      </w:r>
    </w:p>
    <w:p>
      <w:r>
        <w:rPr>
          <w:b w:val="0"/>
          <w:i w:val="0"/>
        </w:rPr>
        <w:t>Binomial intervals use the Wilson score form rather than the normal approximation, because the normal interval misbehaves at the proportions involved here. With p̂ = k / n and z = 1.96:</w:t>
      </w:r>
    </w:p>
    <w:p>
      <w:pPr>
        <w:spacing w:before="80" w:after="80"/>
        <w:jc w:val="center"/>
      </w:pPr>
      <w:r>
        <w:rPr>
          <w:rFonts w:ascii="Cambria Math" w:hAnsi="Cambria Math"/>
          <w:sz w:val="22"/>
        </w:rPr>
        <w:t>centre = ( p̂ + z² / (2n) ) / ( 1 + z² / n )</w:t>
      </w:r>
    </w:p>
    <w:p>
      <w:pPr>
        <w:spacing w:before="80" w:after="80"/>
        <w:jc w:val="center"/>
      </w:pPr>
      <w:r>
        <w:rPr>
          <w:rFonts w:ascii="Cambria Math" w:hAnsi="Cambria Math"/>
          <w:sz w:val="22"/>
        </w:rPr>
        <w:t>half-width = z · √( p̂(1 − p̂) / n + z² / (4n²) ) / ( 1 + z² / n )</w:t>
      </w:r>
    </w:p>
    <w:p>
      <w:pPr>
        <w:spacing w:before="80" w:after="80"/>
        <w:jc w:val="center"/>
      </w:pPr>
      <w:r>
        <w:rPr>
          <w:rFonts w:ascii="Cambria Math" w:hAnsi="Cambria Math"/>
          <w:sz w:val="22"/>
        </w:rPr>
        <w:t>CI₉₅ = 100 · ( centre ± half-width )</w:t>
      </w:r>
    </w:p>
    <w:p>
      <w:r>
        <w:rPr>
          <w:b w:val="0"/>
          <w:i w:val="0"/>
        </w:rPr>
        <w:t>Obtained for case accuracy: Opus 4.5 [72.9, 85.6], Sonnet 4.6 [66.4, 80.4], Sonnet 4.5 [60.9, 75.5], Haiku 4.5 [56.1, 71.2].</w:t>
      </w:r>
    </w:p>
    <w:p>
      <w:pPr>
        <w:pStyle w:val="Heading2"/>
      </w:pPr>
      <w:r>
        <w:rPr>
          <w:color w:val="000000"/>
        </w:rPr>
        <w:t>B3. Case confusion matrix</w:t>
      </w:r>
    </w:p>
    <w:p>
      <w:r>
        <w:rPr>
          <w:b w:val="0"/>
          <w:i w:val="0"/>
        </w:rPr>
        <w:t>Row-normalised over parsed targets, so each row sums to 100 across the three cases plus a no-case column:</w:t>
      </w:r>
    </w:p>
    <w:p>
      <w:pPr>
        <w:spacing w:before="80" w:after="80"/>
        <w:jc w:val="center"/>
      </w:pPr>
      <w:r>
        <w:rPr>
          <w:rFonts w:ascii="Cambria Math" w:hAnsi="Cambria Math"/>
          <w:sz w:val="22"/>
        </w:rPr>
        <w:t>Conf(g, p) = 100 · | { i : caseᵢ = g, casêᵢ = p } | / | { i : caseᵢ = g } |</w:t>
      </w:r>
    </w:p>
    <w:p>
      <w:r>
        <w:rPr>
          <w:b w:val="0"/>
          <w:i w:val="0"/>
        </w:rPr>
        <w:t>Obtained, pooled over models: of gold accusative targets, 61.0% correct, 15.5% assigned nominative, 14.0% genitive, 9.5% no case. Nominative 70.5% correct, genitive 83.5% correct. The accusative is the weakest class for every model.</w:t>
      </w:r>
    </w:p>
    <w:p>
      <w:pPr>
        <w:pStyle w:val="Heading2"/>
      </w:pPr>
      <w:r>
        <w:rPr>
          <w:color w:val="000000"/>
        </w:rPr>
        <w:t>B4. McNemar test between model pairs</w:t>
      </w:r>
    </w:p>
    <w:p>
      <w:r>
        <w:rPr>
          <w:b/>
        </w:rPr>
        <w:t xml:space="preserve">Function: </w:t>
      </w:r>
      <w:r>
        <w:t>score() in 02_probe_morphosyntax.py</w:t>
      </w:r>
    </w:p>
    <w:p>
      <w:r>
        <w:rPr>
          <w:b w:val="0"/>
          <w:i w:val="0"/>
        </w:rPr>
        <w:t>Models are compared on the same 150 targets, so the paired discordant counts are the evidence. With b₀₁ the targets model A got right and B wrong, and b₁₀ the reverse, using Yates's continuity correction as implemented:</w:t>
      </w:r>
    </w:p>
    <w:p>
      <w:pPr>
        <w:spacing w:before="80" w:after="80"/>
        <w:jc w:val="center"/>
      </w:pPr>
      <w:r>
        <w:rPr>
          <w:rFonts w:ascii="Cambria Math" w:hAnsi="Cambria Math"/>
          <w:sz w:val="22"/>
        </w:rPr>
        <w:t>χ²_cc = ( | b₀₁ − b₁₀ | − 1 )² / ( b₀₁ + b₁₀ ),   df = 1</w:t>
      </w:r>
    </w:p>
    <w:p>
      <w:pPr>
        <w:spacing w:before="80" w:after="80"/>
        <w:jc w:val="center"/>
      </w:pPr>
      <w:r>
        <w:rPr>
          <w:rFonts w:ascii="Cambria Math" w:hAnsi="Cambria Math"/>
          <w:sz w:val="22"/>
        </w:rPr>
        <w:t>p = P( χ²₁ &gt; χ²_cc )</w:t>
      </w:r>
    </w:p>
    <w:p>
      <w:r>
        <w:rPr>
          <w:b w:val="0"/>
          <w:i w:val="0"/>
        </w:rPr>
        <w:t>Obtained: Haiku 4.5 versus Opus 4.5 χ² = 10.17, p = .0014; Sonnet 4.5 versus Opus 4.5 χ² = 6.92, p = .0085; Haiku 4.5 versus Sonnet 4.6 χ² = 4.36, p = .037. The three remaining pairs do not separate. No correction for multiple comparisons across the six pairs is applied.</w:t>
      </w:r>
    </w:p>
    <w:p>
      <w:pPr>
        <w:pStyle w:val="Heading2"/>
      </w:pPr>
      <w:r>
        <w:rPr>
          <w:color w:val="000000"/>
        </w:rPr>
        <w:t>B5. Capability trend by case class</w:t>
      </w:r>
    </w:p>
    <w:p>
      <w:r>
        <w:rPr>
          <w:b/>
        </w:rPr>
        <w:t xml:space="preserve">Function: </w:t>
      </w:r>
      <w:r>
        <w:t>fig_error_structure() in 06_figures_extra.py</w:t>
      </w:r>
    </w:p>
    <w:p>
      <w:r>
        <w:rPr>
          <w:b w:val="0"/>
          <w:i w:val="0"/>
        </w:rPr>
        <w:t>Models are ordered on a capability tier (Haiku 4.5 = 0, Sonnet 4.5 = 1, Sonnet 4.6 = 2, Opus 4.5 = 3) and a separate logistic regression is fitted within each gold case class, with correctness as the outcome:</w:t>
      </w:r>
    </w:p>
    <w:p>
      <w:pPr>
        <w:spacing w:before="80" w:after="80"/>
        <w:jc w:val="center"/>
      </w:pPr>
      <w:r>
        <w:rPr>
          <w:rFonts w:ascii="Cambria Math" w:hAnsi="Cambria Math"/>
          <w:sz w:val="22"/>
        </w:rPr>
        <w:t>logit P(case_ok = 1) = β₀ + β₁ · tier</w:t>
      </w:r>
    </w:p>
    <w:p>
      <w:pPr>
        <w:spacing w:before="80" w:after="80"/>
        <w:jc w:val="center"/>
      </w:pPr>
      <w:r>
        <w:rPr>
          <w:rFonts w:ascii="Cambria Math" w:hAnsi="Cambria Math"/>
          <w:sz w:val="22"/>
        </w:rPr>
        <w:t>OR per tier = exp(β₁)</w:t>
      </w:r>
    </w:p>
    <w:p>
      <w:r>
        <w:rPr>
          <w:b w:val="0"/>
          <w:i w:val="0"/>
        </w:rPr>
        <w:t>Obtained: nominative OR 1.60 per tier (95% CI 1.20 to 2.14, p = .0014), genitive OR 1.78 (1.23 to 2.58, p = .0023), accusative OR 0.97 (0.75 to 1.25, p = .795). Capability lifts two case classes and leaves the accusative flat, which is the central finding of the probe.</w:t>
      </w:r>
    </w:p>
    <w:p>
      <w:r>
        <w:rPr>
          <w:b w:val="0"/>
          <w:i w:val="0"/>
          <w:color w:val="C00000"/>
        </w:rPr>
        <w:t>The tier variable is treated as equally spaced and continuous. That is a modelling choice, not a measured property of the four models.</w:t>
      </w:r>
    </w:p>
    <w:p>
      <w:pPr>
        <w:pStyle w:val="Heading2"/>
      </w:pPr>
      <w:r>
        <w:rPr>
          <w:color w:val="000000"/>
        </w:rPr>
        <w:t>B6. Probe 2 reference verification</w:t>
      </w:r>
    </w:p>
    <w:p>
      <w:r>
        <w:rPr>
          <w:b/>
        </w:rPr>
        <w:t xml:space="preserve">Function: </w:t>
      </w:r>
      <w:r>
        <w:t>verify() in 03_probe_citations.py</w:t>
      </w:r>
    </w:p>
    <w:p>
      <w:r>
        <w:rPr>
          <w:b w:val="0"/>
          <w:i w:val="0"/>
        </w:rPr>
        <w:t>A supplied reference is checked first against Crossref by DOI, then against OpenAlex by DOI and, failing that, by title search. Titles are normalised to lower case with all characters outside the Latin alphanumeric and Arabic ranges replaced by spaces, then compared with the Ratcliff-Obershelp similarity used by Python's difflib.SequenceMatcher, where M is the total size of matched blocks and T the combined length of the two strings:</w:t>
      </w:r>
    </w:p>
    <w:p>
      <w:pPr>
        <w:spacing w:before="80" w:after="80"/>
        <w:jc w:val="center"/>
      </w:pPr>
      <w:r>
        <w:rPr>
          <w:rFonts w:ascii="Cambria Math" w:hAnsi="Cambria Math"/>
          <w:sz w:val="22"/>
        </w:rPr>
        <w:t>sim(a, b) = 2M / T,   sim ∈ [0, 1]</w:t>
      </w:r>
    </w:p>
    <w:p>
      <w:pPr>
        <w:spacing w:before="80" w:after="80"/>
        <w:jc w:val="center"/>
      </w:pPr>
      <w:r>
        <w:rPr>
          <w:rFonts w:ascii="Cambria Math" w:hAnsi="Cambria Math"/>
          <w:sz w:val="22"/>
        </w:rPr>
        <w:t>match if sim ≥ 0.60</w:t>
      </w:r>
    </w:p>
    <w:p>
      <w:r>
        <w:rPr>
          <w:b w:val="0"/>
          <w:i w:val="0"/>
        </w:rPr>
        <w:t>A DOI must satisfy the pattern 10.NNNN/suffix after stripping resolver prefixes, or it is classed as malformed or absent without a lookup. The three-way classification is applied in this order:</w:t>
      </w:r>
    </w:p>
    <w:p>
      <w:pPr>
        <w:pStyle w:val="ListBullet"/>
      </w:pPr>
      <w:r>
        <w:t>verified as supplied: the DOI resolves in Crossref and the returned title matches the supplied title at sim ≥ 0.60.</w:t>
      </w:r>
    </w:p>
    <w:p>
      <w:pPr>
        <w:pStyle w:val="ListBullet"/>
      </w:pPr>
      <w:r>
        <w:t>real work, wrong identifier: the Crossref check fails, but OpenAlex finds a work matching the supplied title at sim ≥ 0.60. The work exists; the reference as given does not point to it.</w:t>
      </w:r>
    </w:p>
    <w:p>
      <w:pPr>
        <w:pStyle w:val="ListBullet"/>
      </w:pPr>
      <w:r>
        <w:t>no trace in either index: neither check succeeds.</w:t>
      </w:r>
    </w:p>
    <w:p>
      <w:r>
        <w:rPr>
          <w:b w:val="0"/>
          <w:i w:val="0"/>
        </w:rPr>
        <w:t>Obtained over 177 supplied references pooled across models: 29 verified as supplied (16.4%), 57 real work with a wrong identifier (32.2%), 91 with no trace in either index (51.4%). Haiku 4.5 abstained on all 20 topics and so contributes no references.</w:t>
      </w:r>
    </w:p>
    <w:p>
      <w:r>
        <w:rPr>
          <w:b w:val="0"/>
          <w:i w:val="0"/>
          <w:color w:val="C00000"/>
        </w:rPr>
        <w:t>The 0.60 threshold and the choice of Ratcliff-Obershelp similarity are judgement calls, not standard bibliographic practice, and the paper does not report a sensitivity analysis around them. One is cheap to add: recompute the three-way split at 0.50, 0.60 and 0.70 and state that the ordering is unchanged.</w:t>
      </w:r>
    </w:p>
    <w:p>
      <w:pPr>
        <w:pStyle w:val="Heading2"/>
      </w:pPr>
      <w:r>
        <w:rPr>
          <w:color w:val="000000"/>
        </w:rPr>
        <w:t>B7. Probe 3 confabulation scoring</w:t>
      </w:r>
    </w:p>
    <w:p>
      <w:r>
        <w:rPr>
          <w:b/>
        </w:rPr>
        <w:t xml:space="preserve">Function: </w:t>
      </w:r>
      <w:r>
        <w:t>score() in 04_probe_confabulation.py</w:t>
      </w:r>
    </w:p>
    <w:p>
      <w:r>
        <w:rPr>
          <w:b w:val="0"/>
          <w:i w:val="0"/>
        </w:rPr>
        <w:t>Items are bibliographic entities constructed to not exist, verified absent from both indexes by subject-phrase containment rather than title similarity, because shared frame wording alone pushes unrelated Arabic titles above the 0.60 threshold. Each reply is scanned for a disclaimer pattern and an assertion-of-content pattern, giving three mutually exclusive labels:</w:t>
      </w:r>
    </w:p>
    <w:p>
      <w:pPr>
        <w:spacing w:before="80" w:after="80"/>
        <w:jc w:val="center"/>
      </w:pPr>
      <w:r>
        <w:rPr>
          <w:rFonts w:ascii="Cambria Math" w:hAnsi="Cambria Math"/>
          <w:sz w:val="22"/>
        </w:rPr>
        <w:t>confabulated   : assertion ∧ ¬ disclaimer</w:t>
      </w:r>
    </w:p>
    <w:p>
      <w:pPr>
        <w:spacing w:before="80" w:after="80"/>
        <w:jc w:val="center"/>
      </w:pPr>
      <w:r>
        <w:rPr>
          <w:rFonts w:ascii="Cambria Math" w:hAnsi="Cambria Math"/>
          <w:sz w:val="22"/>
        </w:rPr>
        <w:t>hedged         : assertion ∧ disclaimer</w:t>
      </w:r>
    </w:p>
    <w:p>
      <w:pPr>
        <w:spacing w:before="80" w:after="80"/>
        <w:jc w:val="center"/>
      </w:pPr>
      <w:r>
        <w:rPr>
          <w:rFonts w:ascii="Cambria Math" w:hAnsi="Cambria Math"/>
          <w:sz w:val="22"/>
        </w:rPr>
        <w:t>correct_disclaim : otherwise</w:t>
      </w:r>
    </w:p>
    <w:p>
      <w:r>
        <w:rPr>
          <w:b w:val="0"/>
          <w:i w:val="0"/>
        </w:rPr>
        <w:t>Two rates follow. The strict rate counts only unhedged assertions; the wider rate counts any reply that supplies substantive content about a non-existent work, disclaimer or not:</w:t>
      </w:r>
    </w:p>
    <w:p>
      <w:pPr>
        <w:spacing w:before="80" w:after="80"/>
        <w:jc w:val="center"/>
      </w:pPr>
      <w:r>
        <w:rPr>
          <w:rFonts w:ascii="Cambria Math" w:hAnsi="Cambria Math"/>
          <w:sz w:val="22"/>
        </w:rPr>
        <w:t>strict rate (%) = 100 · n_confabulated / n_replies</w:t>
      </w:r>
    </w:p>
    <w:p>
      <w:pPr>
        <w:spacing w:before="80" w:after="80"/>
        <w:jc w:val="center"/>
      </w:pPr>
      <w:r>
        <w:rPr>
          <w:rFonts w:ascii="Cambria Math" w:hAnsi="Cambria Math"/>
          <w:sz w:val="22"/>
        </w:rPr>
        <w:t>wider rate (%) = 100 · ( n_confabulated + n_hedged ) / n_replies</w:t>
      </w:r>
    </w:p>
    <w:p>
      <w:r>
        <w:rPr>
          <w:b w:val="0"/>
          <w:i w:val="0"/>
        </w:rPr>
        <w:t>Obtained over 156 replies: strict rate 0 for every model; wider rate 23.1% Opus 4.5, 20.5% Sonnet 4.5, 12.8% Sonnet 4.6, 2.6% Haiku 4.5. The figure plots the wider rate. Independent re-coding of the replies agreed with the deterministic labels on 82.1% of 156 items.</w:t>
      </w:r>
    </w:p>
    <w:p>
      <w:r>
        <w:rPr>
          <w:b w:val="0"/>
          <w:i w:val="0"/>
          <w:color w:val="C00000"/>
        </w:rPr>
        <w:t>Which rate is 'the' confabulation rate is a definitional choice, and the two give opposite impressions. State in the text that the plotted quantity is the wider rate.</w:t>
      </w:r>
    </w:p>
    <w:p>
      <w:pPr>
        <w:pStyle w:val="Heading1"/>
      </w:pPr>
      <w:r>
        <w:rPr>
          <w:color w:val="000000"/>
        </w:rPr>
        <w:t>Part C. The alignment statistic</w:t>
      </w:r>
    </w:p>
    <w:p>
      <w:r>
        <w:rPr>
          <w:b/>
        </w:rPr>
        <w:t xml:space="preserve">Source: </w:t>
      </w:r>
      <w:r>
        <w:t>results/results_alignment.csv and results/table2_alignment.csv</w:t>
      </w:r>
    </w:p>
    <w:p>
      <w:r>
        <w:rPr>
          <w:b w:val="0"/>
          <w:i w:val="0"/>
        </w:rPr>
        <w:t>The headline result compares, for each breakdown, the percentage of the 141-respondent barrier corpus that reported it against the measured failure rate on the probe that operationalises it, expressed as a best-model to worst-model range. The gap is signed:</w:t>
      </w:r>
    </w:p>
    <w:p>
      <w:pPr>
        <w:spacing w:before="80" w:after="80"/>
        <w:jc w:val="center"/>
      </w:pPr>
      <w:r>
        <w:rPr>
          <w:rFonts w:ascii="Cambria Math" w:hAnsi="Cambria Math"/>
          <w:sz w:val="22"/>
        </w:rPr>
        <w:t>gap = measured_best (%) − student_pct (%)</w:t>
      </w:r>
    </w:p>
    <w:p>
      <w:r>
        <w:rPr>
          <w:b w:val="0"/>
          <w:i w:val="0"/>
        </w:rPr>
        <w:t>A positive gap means models fail more often than students mention it; a negative gap the reverse. Obtained: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Pr>
                <w:b/>
                <w:sz w:val="18"/>
              </w:rPr>
              <w:t>Breakdown</w:t>
            </w:r>
          </w:p>
        </w:tc>
        <w:tc>
          <w:tcPr>
            <w:tcW w:type="dxa" w:w="1008"/>
          </w:tcPr>
          <w:p>
            <w:r>
              <w:rPr>
                <w:b/>
                <w:sz w:val="18"/>
              </w:rPr>
              <w:t>Reported %</w:t>
            </w:r>
          </w:p>
        </w:tc>
        <w:tc>
          <w:tcPr>
            <w:tcW w:type="dxa" w:w="2880"/>
          </w:tcPr>
          <w:p>
            <w:r>
              <w:rPr>
                <w:b/>
                <w:sz w:val="18"/>
              </w:rPr>
              <w:t>Measured quantity</w:t>
            </w:r>
          </w:p>
        </w:tc>
        <w:tc>
          <w:tcPr>
            <w:tcW w:type="dxa" w:w="720"/>
          </w:tcPr>
          <w:p>
            <w:r>
              <w:rPr>
                <w:b/>
                <w:sz w:val="18"/>
              </w:rPr>
              <w:t>Best</w:t>
            </w:r>
          </w:p>
        </w:tc>
        <w:tc>
          <w:tcPr>
            <w:tcW w:type="dxa" w:w="720"/>
          </w:tcPr>
          <w:p>
            <w:r>
              <w:rPr>
                <w:b/>
                <w:sz w:val="18"/>
              </w:rPr>
              <w:t>Worst</w:t>
            </w:r>
          </w:p>
        </w:tc>
        <w:tc>
          <w:tcPr>
            <w:tcW w:type="dxa" w:w="1008"/>
          </w:tcPr>
          <w:p>
            <w:r>
              <w:rPr>
                <w:b/>
                <w:sz w:val="18"/>
              </w:rPr>
              <w:t>Gap vs best</w:t>
            </w:r>
          </w:p>
        </w:tc>
      </w:tr>
      <w:tr>
        <w:tc>
          <w:tcPr>
            <w:tcW w:type="dxa" w:w="2736"/>
          </w:tcPr>
          <w:p>
            <w:r>
              <w:rPr>
                <w:sz w:val="18"/>
              </w:rPr>
              <w:t>Inaccurate or unreliable output (generic)</w:t>
            </w:r>
          </w:p>
        </w:tc>
        <w:tc>
          <w:tcPr>
            <w:tcW w:type="dxa" w:w="1008"/>
          </w:tcPr>
          <w:p>
            <w:r>
              <w:rPr>
                <w:sz w:val="18"/>
              </w:rPr>
              <w:t>71.6</w:t>
            </w:r>
          </w:p>
        </w:tc>
        <w:tc>
          <w:tcPr>
            <w:tcW w:type="dxa" w:w="2880"/>
          </w:tcPr>
          <w:p>
            <w:r>
              <w:rPr>
                <w:sz w:val="18"/>
              </w:rPr>
              <w:t>POS-tag error rate on gold treebank</w:t>
            </w:r>
          </w:p>
        </w:tc>
        <w:tc>
          <w:tcPr>
            <w:tcW w:type="dxa" w:w="720"/>
          </w:tcPr>
          <w:p>
            <w:r>
              <w:rPr>
                <w:sz w:val="18"/>
              </w:rPr>
              <w:t>8.0</w:t>
            </w:r>
          </w:p>
        </w:tc>
        <w:tc>
          <w:tcPr>
            <w:tcW w:type="dxa" w:w="720"/>
          </w:tcPr>
          <w:p>
            <w:r>
              <w:rPr>
                <w:sz w:val="18"/>
              </w:rPr>
              <w:t>17.3</w:t>
            </w:r>
          </w:p>
        </w:tc>
        <w:tc>
          <w:tcPr>
            <w:tcW w:type="dxa" w:w="1008"/>
          </w:tcPr>
          <w:p>
            <w:r>
              <w:rPr>
                <w:sz w:val="18"/>
              </w:rPr>
              <w:t>−63.6</w:t>
            </w:r>
          </w:p>
        </w:tc>
      </w:tr>
      <w:tr>
        <w:tc>
          <w:tcPr>
            <w:tcW w:type="dxa" w:w="2736"/>
          </w:tcPr>
          <w:p>
            <w:r>
              <w:rPr>
                <w:sz w:val="18"/>
              </w:rPr>
              <w:t>Weak Arabic grammar and morphology (iʿrāb)</w:t>
            </w:r>
          </w:p>
        </w:tc>
        <w:tc>
          <w:tcPr>
            <w:tcW w:type="dxa" w:w="1008"/>
          </w:tcPr>
          <w:p>
            <w:r>
              <w:rPr>
                <w:sz w:val="18"/>
              </w:rPr>
              <w:t>48.2</w:t>
            </w:r>
          </w:p>
        </w:tc>
        <w:tc>
          <w:tcPr>
            <w:tcW w:type="dxa" w:w="2880"/>
          </w:tcPr>
          <w:p>
            <w:r>
              <w:rPr>
                <w:sz w:val="18"/>
              </w:rPr>
              <w:t>case error rate on 150 PADT gold targets</w:t>
            </w:r>
          </w:p>
        </w:tc>
        <w:tc>
          <w:tcPr>
            <w:tcW w:type="dxa" w:w="720"/>
          </w:tcPr>
          <w:p>
            <w:r>
              <w:rPr>
                <w:sz w:val="18"/>
              </w:rPr>
              <w:t>20.0</w:t>
            </w:r>
          </w:p>
        </w:tc>
        <w:tc>
          <w:tcPr>
            <w:tcW w:type="dxa" w:w="720"/>
          </w:tcPr>
          <w:p>
            <w:r>
              <w:rPr>
                <w:sz w:val="18"/>
              </w:rPr>
              <w:t>36.0</w:t>
            </w:r>
          </w:p>
        </w:tc>
        <w:tc>
          <w:tcPr>
            <w:tcW w:type="dxa" w:w="1008"/>
          </w:tcPr>
          <w:p>
            <w:r>
              <w:rPr>
                <w:sz w:val="18"/>
              </w:rPr>
              <w:t>−28.2</w:t>
            </w:r>
          </w:p>
        </w:tc>
      </w:tr>
      <w:tr>
        <w:tc>
          <w:tcPr>
            <w:tcW w:type="dxa" w:w="2736"/>
          </w:tcPr>
          <w:p>
            <w:r>
              <w:rPr>
                <w:sz w:val="18"/>
              </w:rPr>
              <w:t>Fabricated or missing references</w:t>
            </w:r>
          </w:p>
        </w:tc>
        <w:tc>
          <w:tcPr>
            <w:tcW w:type="dxa" w:w="1008"/>
          </w:tcPr>
          <w:p>
            <w:r>
              <w:rPr>
                <w:sz w:val="18"/>
              </w:rPr>
              <w:t>16.3</w:t>
            </w:r>
          </w:p>
        </w:tc>
        <w:tc>
          <w:tcPr>
            <w:tcW w:type="dxa" w:w="2880"/>
          </w:tcPr>
          <w:p>
            <w:r>
              <w:rPr>
                <w:sz w:val="18"/>
              </w:rPr>
              <w:t>supplied references not usable as given</w:t>
            </w:r>
          </w:p>
        </w:tc>
        <w:tc>
          <w:tcPr>
            <w:tcW w:type="dxa" w:w="720"/>
          </w:tcPr>
          <w:p>
            <w:r>
              <w:rPr>
                <w:sz w:val="18"/>
              </w:rPr>
              <w:t>77.6</w:t>
            </w:r>
          </w:p>
        </w:tc>
        <w:tc>
          <w:tcPr>
            <w:tcW w:type="dxa" w:w="720"/>
          </w:tcPr>
          <w:p>
            <w:r>
              <w:rPr>
                <w:sz w:val="18"/>
              </w:rPr>
              <w:t>88.0</w:t>
            </w:r>
          </w:p>
        </w:tc>
        <w:tc>
          <w:tcPr>
            <w:tcW w:type="dxa" w:w="1008"/>
          </w:tcPr>
          <w:p>
            <w:r>
              <w:rPr>
                <w:sz w:val="18"/>
              </w:rPr>
              <w:t>+61.3</w:t>
            </w:r>
          </w:p>
        </w:tc>
      </w:tr>
      <w:tr>
        <w:tc>
          <w:tcPr>
            <w:tcW w:type="dxa" w:w="2736"/>
          </w:tcPr>
          <w:p>
            <w:r>
              <w:rPr>
                <w:sz w:val="18"/>
              </w:rPr>
              <w:t>Hallucinated literary attribution</w:t>
            </w:r>
          </w:p>
        </w:tc>
        <w:tc>
          <w:tcPr>
            <w:tcW w:type="dxa" w:w="1008"/>
          </w:tcPr>
          <w:p>
            <w:r>
              <w:rPr>
                <w:sz w:val="18"/>
              </w:rPr>
              <w:t>8.5</w:t>
            </w:r>
          </w:p>
        </w:tc>
        <w:tc>
          <w:tcPr>
            <w:tcW w:type="dxa" w:w="2880"/>
          </w:tcPr>
          <w:p>
            <w:r>
              <w:rPr>
                <w:sz w:val="18"/>
              </w:rPr>
              <w:t>content supplied for a work verified not to exist</w:t>
            </w:r>
          </w:p>
        </w:tc>
        <w:tc>
          <w:tcPr>
            <w:tcW w:type="dxa" w:w="720"/>
          </w:tcPr>
          <w:p>
            <w:r>
              <w:rPr>
                <w:sz w:val="18"/>
              </w:rPr>
              <w:t>2.6</w:t>
            </w:r>
          </w:p>
        </w:tc>
        <w:tc>
          <w:tcPr>
            <w:tcW w:type="dxa" w:w="720"/>
          </w:tcPr>
          <w:p>
            <w:r>
              <w:rPr>
                <w:sz w:val="18"/>
              </w:rPr>
              <w:t>23.1</w:t>
            </w:r>
          </w:p>
        </w:tc>
        <w:tc>
          <w:tcPr>
            <w:tcW w:type="dxa" w:w="1008"/>
          </w:tcPr>
          <w:p>
            <w:r>
              <w:rPr>
                <w:sz w:val="18"/>
              </w:rPr>
              <w:t>−5.9</w:t>
            </w:r>
          </w:p>
        </w:tc>
      </w:tr>
    </w:tbl>
    <w:p>
      <w:r>
        <w:rPr>
          <w:b w:val="0"/>
          <w:i w:val="0"/>
        </w:rPr>
        <w:t>The ordering of reported concern is close to inverted relative to measured failure: the most reported breakdown has the largest negative gap, and references, reported by one respondent in six, is the only category where models fail more often than students notice.</w:t>
      </w:r>
    </w:p>
    <w:p>
      <w:pPr>
        <w:pStyle w:val="Heading1"/>
      </w:pPr>
      <w:r>
        <w:rPr>
          <w:color w:val="000000"/>
        </w:rPr>
        <w:t>Part D. Figure specifications</w:t>
      </w:r>
    </w:p>
    <w:p>
      <w:r>
        <w:rPr>
          <w:b w:val="0"/>
          <w:i w:val="0"/>
        </w:rPr>
        <w:t>All eight figures regenerate from the saved result tables with no model calls and no network access. Shared rendering settings, set in style() in both figure scripts: 300 dpi on save, 8 pt base font, 7 pt axis labels, top and right spines removed, no grid. Panel letters are placed at axes coordinates (−0.16, 1.06) in bold.</w:t>
      </w:r>
    </w:p>
    <w:p>
      <w:r>
        <w:rPr>
          <w:b w:val="0"/>
          <w:i w:val="0"/>
        </w:rPr>
        <w:t>Colour scheme, used consistently across all figures: blue #2c6fa8 for the reference or nominative series, orange #e08a2e for the intermediate series, red #c0392b for the series carrying the paper's claim, grey #7f8c8d for the neutral or genitive series.</w:t>
      </w:r>
    </w:p>
    <w:p>
      <w:pPr>
        <w:pStyle w:val="Heading2"/>
      </w:pPr>
      <w:r>
        <w:rPr>
          <w:color w:val="000000"/>
        </w:rPr>
        <w:t>Main figures, code/05_figures.py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00"/>
          </w:tcPr>
          <w:p>
            <w:r>
              <w:rPr>
                <w:b/>
                <w:sz w:val="18"/>
              </w:rPr>
              <w:t>Figure</w:t>
            </w:r>
          </w:p>
        </w:tc>
        <w:tc>
          <w:tcPr>
            <w:tcW w:type="dxa" w:w="1224"/>
          </w:tcPr>
          <w:p>
            <w:r>
              <w:rPr>
                <w:b/>
                <w:sz w:val="18"/>
              </w:rPr>
              <w:t>Function</w:t>
            </w:r>
          </w:p>
        </w:tc>
        <w:tc>
          <w:tcPr>
            <w:tcW w:type="dxa" w:w="2160"/>
          </w:tcPr>
          <w:p>
            <w:r>
              <w:rPr>
                <w:b/>
                <w:sz w:val="18"/>
              </w:rPr>
              <w:t>Source tables</w:t>
            </w:r>
          </w:p>
        </w:tc>
        <w:tc>
          <w:tcPr>
            <w:tcW w:type="dxa" w:w="2664"/>
          </w:tcPr>
          <w:p>
            <w:r>
              <w:rPr>
                <w:b/>
                <w:sz w:val="18"/>
              </w:rPr>
              <w:t>Chart and encodings</w:t>
            </w:r>
          </w:p>
        </w:tc>
        <w:tc>
          <w:tcPr>
            <w:tcW w:type="dxa" w:w="1872"/>
          </w:tcPr>
          <w:p>
            <w:r>
              <w:rPr>
                <w:b/>
                <w:sz w:val="18"/>
              </w:rPr>
              <w:t>Statistics shown</w:t>
            </w:r>
          </w:p>
        </w:tc>
      </w:tr>
      <w:tr>
        <w:tc>
          <w:tcPr>
            <w:tcW w:type="dxa" w:w="1800"/>
          </w:tcPr>
          <w:p>
            <w:r>
              <w:rPr>
                <w:sz w:val="18"/>
              </w:rPr>
              <w:t>fig_survey_dimensions.png</w:t>
            </w:r>
          </w:p>
        </w:tc>
        <w:tc>
          <w:tcPr>
            <w:tcW w:type="dxa" w:w="1224"/>
          </w:tcPr>
          <w:p>
            <w:r>
              <w:rPr>
                <w:sz w:val="18"/>
              </w:rPr>
              <w:t>fig_dimensions()</w:t>
            </w:r>
          </w:p>
        </w:tc>
        <w:tc>
          <w:tcPr>
            <w:tcW w:type="dxa" w:w="2160"/>
          </w:tcPr>
          <w:p>
            <w:r>
              <w:rPr>
                <w:sz w:val="18"/>
              </w:rPr>
              <w:t>repro_dimension_profile.csv, repro_study1_statistics.json</w:t>
            </w:r>
          </w:p>
        </w:tc>
        <w:tc>
          <w:tcPr>
            <w:tcW w:type="dxa" w:w="2664"/>
          </w:tcPr>
          <w:p>
            <w:r>
              <w:rPr>
                <w:sz w:val="18"/>
              </w:rPr>
              <w:t>Vertical bars, one per dimension, y axis fixed 0 to 5; error bars 1.96 × SE where SE = SD / √n; dashed reference line at the scale midpoint 3</w:t>
            </w:r>
          </w:p>
        </w:tc>
        <w:tc>
          <w:tcPr>
            <w:tcW w:type="dxa" w:w="1872"/>
          </w:tcPr>
          <w:p>
            <w:r>
              <w:rPr>
                <w:sz w:val="18"/>
              </w:rPr>
              <w:t>Dimension means to two decimals; title carries the paired mean difference 1.11</w:t>
            </w:r>
          </w:p>
        </w:tc>
      </w:tr>
      <w:tr>
        <w:tc>
          <w:tcPr>
            <w:tcW w:type="dxa" w:w="1800"/>
          </w:tcPr>
          <w:p>
            <w:r>
              <w:rPr>
                <w:sz w:val="18"/>
              </w:rPr>
              <w:t>fig_survey_barriers.png</w:t>
            </w:r>
          </w:p>
        </w:tc>
        <w:tc>
          <w:tcPr>
            <w:tcW w:type="dxa" w:w="1224"/>
          </w:tcPr>
          <w:p>
            <w:r>
              <w:rPr>
                <w:sz w:val="18"/>
              </w:rPr>
              <w:t>fig_barriers()</w:t>
            </w:r>
          </w:p>
        </w:tc>
        <w:tc>
          <w:tcPr>
            <w:tcW w:type="dxa" w:w="2160"/>
          </w:tcPr>
          <w:p>
            <w:r>
              <w:rPr>
                <w:sz w:val="18"/>
              </w:rPr>
              <w:t>barrier_theme_prevalence.csv</w:t>
            </w:r>
          </w:p>
        </w:tc>
        <w:tc>
          <w:tcPr>
            <w:tcW w:type="dxa" w:w="2664"/>
          </w:tcPr>
          <w:p>
            <w:r>
              <w:rPr>
                <w:sz w:val="18"/>
              </w:rPr>
              <w:t>Horizontal bars sorted ascending by prevalence, T9 other/none excluded, x axis 0 to 95</w:t>
            </w:r>
          </w:p>
        </w:tc>
        <w:tc>
          <w:tcPr>
            <w:tcW w:type="dxa" w:w="1872"/>
          </w:tcPr>
          <w:p>
            <w:r>
              <w:rPr>
                <w:sz w:val="18"/>
              </w:rPr>
              <w:t>Prevalence to one decimal and κ in the data label; denominator 141 stated on the axis</w:t>
            </w:r>
          </w:p>
        </w:tc>
      </w:tr>
      <w:tr>
        <w:tc>
          <w:tcPr>
            <w:tcW w:type="dxa" w:w="1800"/>
          </w:tcPr>
          <w:p>
            <w:r>
              <w:rPr>
                <w:sz w:val="18"/>
              </w:rPr>
              <w:t>fig_survey_stance.png</w:t>
            </w:r>
          </w:p>
        </w:tc>
        <w:tc>
          <w:tcPr>
            <w:tcW w:type="dxa" w:w="1224"/>
          </w:tcPr>
          <w:p>
            <w:r>
              <w:rPr>
                <w:sz w:val="18"/>
              </w:rPr>
              <w:t>fig_stance()</w:t>
            </w:r>
          </w:p>
        </w:tc>
        <w:tc>
          <w:tcPr>
            <w:tcW w:type="dxa" w:w="2160"/>
          </w:tcPr>
          <w:p>
            <w:r>
              <w:rPr>
                <w:sz w:val="18"/>
              </w:rPr>
              <w:t>arabic_genai_competency_data.csv, q4_coding_reconciliation.csv</w:t>
            </w:r>
          </w:p>
        </w:tc>
        <w:tc>
          <w:tcPr>
            <w:tcW w:type="dxa" w:w="2664"/>
          </w:tcPr>
          <w:p>
            <w:r>
              <w:rPr>
                <w:sz w:val="18"/>
              </w:rPr>
              <w:t>Strip plot, one column per stance, horizontal jitter ±0.12 from a seeded generator (seed 0), marker alpha 0.65; black bar at the group median</w:t>
            </w:r>
          </w:p>
        </w:tc>
        <w:tc>
          <w:tcPr>
            <w:tcW w:type="dxa" w:w="1872"/>
          </w:tcPr>
          <w:p>
            <w:r>
              <w:rPr>
                <w:sz w:val="18"/>
              </w:rPr>
              <w:t>Group n above each column; title carries F(2, 132) = 17.8 and η² = .21</w:t>
            </w:r>
          </w:p>
        </w:tc>
      </w:tr>
      <w:tr>
        <w:tc>
          <w:tcPr>
            <w:tcW w:type="dxa" w:w="1800"/>
          </w:tcPr>
          <w:p>
            <w:r>
              <w:rPr>
                <w:sz w:val="18"/>
              </w:rPr>
              <w:t>fig_model_evaluation.png</w:t>
            </w:r>
          </w:p>
        </w:tc>
        <w:tc>
          <w:tcPr>
            <w:tcW w:type="dxa" w:w="1224"/>
          </w:tcPr>
          <w:p>
            <w:r>
              <w:rPr>
                <w:sz w:val="18"/>
              </w:rPr>
              <w:t>fig_evaluation()</w:t>
            </w:r>
          </w:p>
        </w:tc>
        <w:tc>
          <w:tcPr>
            <w:tcW w:type="dxa" w:w="2160"/>
          </w:tcPr>
          <w:p>
            <w:r>
              <w:rPr>
                <w:sz w:val="18"/>
              </w:rPr>
              <w:t>results_e1_morphosyntax_items.csv, results_e2_model_summary.csv, results_e3_model_summary.csv</w:t>
            </w:r>
          </w:p>
        </w:tc>
        <w:tc>
          <w:tcPr>
            <w:tcW w:type="dxa" w:w="2664"/>
          </w:tcPr>
          <w:p>
            <w:r>
              <w:rPr>
                <w:sz w:val="18"/>
              </w:rPr>
              <w:t>Three panels. (a) grouped bars, case accuracy by model and case class, width 0.26. (b) stacked bars, reference counts in the three verification classes. (c) single bars, wider confabulation rate</w:t>
            </w:r>
          </w:p>
        </w:tc>
        <w:tc>
          <w:tcPr>
            <w:tcW w:type="dxa" w:w="1872"/>
          </w:tcPr>
          <w:p>
            <w:r>
              <w:rPr>
                <w:sz w:val="18"/>
              </w:rPr>
              <w:t>Panel c labels each bar; abstention annotated in panel b where a model supplied no references</w:t>
            </w:r>
          </w:p>
        </w:tc>
      </w:tr>
      <w:tr>
        <w:tc>
          <w:tcPr>
            <w:tcW w:type="dxa" w:w="1800"/>
          </w:tcPr>
          <w:p>
            <w:r>
              <w:rPr>
                <w:sz w:val="18"/>
              </w:rPr>
              <w:t>fig_alignment.png</w:t>
            </w:r>
          </w:p>
        </w:tc>
        <w:tc>
          <w:tcPr>
            <w:tcW w:type="dxa" w:w="1224"/>
          </w:tcPr>
          <w:p>
            <w:r>
              <w:rPr>
                <w:sz w:val="18"/>
              </w:rPr>
              <w:t>fig_alignment()</w:t>
            </w:r>
          </w:p>
        </w:tc>
        <w:tc>
          <w:tcPr>
            <w:tcW w:type="dxa" w:w="2160"/>
          </w:tcPr>
          <w:p>
            <w:r>
              <w:rPr>
                <w:sz w:val="18"/>
              </w:rPr>
              <w:t>results_alignment.csv</w:t>
            </w:r>
          </w:p>
        </w:tc>
        <w:tc>
          <w:tcPr>
            <w:tcW w:type="dxa" w:w="2664"/>
          </w:tcPr>
          <w:p>
            <w:r>
              <w:rPr>
                <w:sz w:val="18"/>
              </w:rPr>
              <w:t>Dumbbell, rows sorted ascending by reported prevalence. Red segment spans best to worst measured failure; blue marker at reported prevalence; grey arrow from report to measured</w:t>
            </w:r>
          </w:p>
        </w:tc>
        <w:tc>
          <w:tcPr>
            <w:tcW w:type="dxa" w:w="1872"/>
          </w:tcPr>
          <w:p>
            <w:r>
              <w:rPr>
                <w:sz w:val="18"/>
              </w:rPr>
              <w:t>None annotated; the geometry is the claim. Arrow direction encodes the sign of the gap</w:t>
            </w:r>
          </w:p>
        </w:tc>
      </w:tr>
    </w:tbl>
    <w:p>
      <w:pPr>
        <w:pStyle w:val="Heading2"/>
      </w:pPr>
      <w:r>
        <w:rPr>
          <w:color w:val="000000"/>
        </w:rPr>
        <w:t>Supplementary figures, code/06_figures_extra.py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00"/>
          </w:tcPr>
          <w:p>
            <w:r>
              <w:rPr>
                <w:b/>
                <w:sz w:val="18"/>
              </w:rPr>
              <w:t>Figure</w:t>
            </w:r>
          </w:p>
        </w:tc>
        <w:tc>
          <w:tcPr>
            <w:tcW w:type="dxa" w:w="1224"/>
          </w:tcPr>
          <w:p>
            <w:r>
              <w:rPr>
                <w:b/>
                <w:sz w:val="18"/>
              </w:rPr>
              <w:t>Function</w:t>
            </w:r>
          </w:p>
        </w:tc>
        <w:tc>
          <w:tcPr>
            <w:tcW w:type="dxa" w:w="2160"/>
          </w:tcPr>
          <w:p>
            <w:r>
              <w:rPr>
                <w:b/>
                <w:sz w:val="18"/>
              </w:rPr>
              <w:t>Source tables</w:t>
            </w:r>
          </w:p>
        </w:tc>
        <w:tc>
          <w:tcPr>
            <w:tcW w:type="dxa" w:w="2664"/>
          </w:tcPr>
          <w:p>
            <w:r>
              <w:rPr>
                <w:b/>
                <w:sz w:val="18"/>
              </w:rPr>
              <w:t>Chart and encodings</w:t>
            </w:r>
          </w:p>
        </w:tc>
        <w:tc>
          <w:tcPr>
            <w:tcW w:type="dxa" w:w="1872"/>
          </w:tcPr>
          <w:p>
            <w:r>
              <w:rPr>
                <w:b/>
                <w:sz w:val="18"/>
              </w:rPr>
              <w:t>Statistics shown</w:t>
            </w:r>
          </w:p>
        </w:tc>
      </w:tr>
      <w:tr>
        <w:tc>
          <w:tcPr>
            <w:tcW w:type="dxa" w:w="1800"/>
          </w:tcPr>
          <w:p>
            <w:r>
              <w:rPr>
                <w:sz w:val="18"/>
              </w:rPr>
              <w:t>fig_instrument.png</w:t>
            </w:r>
          </w:p>
        </w:tc>
        <w:tc>
          <w:tcPr>
            <w:tcW w:type="dxa" w:w="1224"/>
          </w:tcPr>
          <w:p>
            <w:r>
              <w:rPr>
                <w:sz w:val="18"/>
              </w:rPr>
              <w:t>fig_instrument()</w:t>
            </w:r>
          </w:p>
        </w:tc>
        <w:tc>
          <w:tcPr>
            <w:tcW w:type="dxa" w:w="2160"/>
          </w:tcPr>
          <w:p>
            <w:r>
              <w:rPr>
                <w:sz w:val="18"/>
              </w:rPr>
              <w:t>results_subscale_reliability.csv, results_dimension_correlations.csv</w:t>
            </w:r>
          </w:p>
        </w:tc>
        <w:tc>
          <w:tcPr>
            <w:tcW w:type="dxa" w:w="2664"/>
          </w:tcPr>
          <w:p>
            <w:r>
              <w:rPr>
                <w:sz w:val="18"/>
              </w:rPr>
              <w:t>(a) bars of Cronbach's α by subscale with a dashed line at .70. (b) correlation heat map, RdBu_r diverging colormap symmetric on −1 to 1</w:t>
            </w:r>
          </w:p>
        </w:tc>
        <w:tc>
          <w:tcPr>
            <w:tcW w:type="dxa" w:w="1872"/>
          </w:tcPr>
          <w:p>
            <w:r>
              <w:rPr>
                <w:sz w:val="18"/>
              </w:rPr>
              <w:t>α and item count per bar; r to two decimals in each cell with * for p &lt; .05 from the t transform, n.s. otherwise</w:t>
            </w:r>
          </w:p>
        </w:tc>
      </w:tr>
      <w:tr>
        <w:tc>
          <w:tcPr>
            <w:tcW w:type="dxa" w:w="1800"/>
          </w:tcPr>
          <w:p>
            <w:r>
              <w:rPr>
                <w:sz w:val="18"/>
              </w:rPr>
              <w:t>fig_cooccurrence.png</w:t>
            </w:r>
          </w:p>
        </w:tc>
        <w:tc>
          <w:tcPr>
            <w:tcW w:type="dxa" w:w="1224"/>
          </w:tcPr>
          <w:p>
            <w:r>
              <w:rPr>
                <w:sz w:val="18"/>
              </w:rPr>
              <w:t>fig_cooccurrence()</w:t>
            </w:r>
          </w:p>
        </w:tc>
        <w:tc>
          <w:tcPr>
            <w:tcW w:type="dxa" w:w="2160"/>
          </w:tcPr>
          <w:p>
            <w:r>
              <w:rPr>
                <w:sz w:val="18"/>
              </w:rPr>
              <w:t>results_theme_cooccurrence.csv, results_superordinate_test.csv</w:t>
            </w:r>
          </w:p>
        </w:tc>
        <w:tc>
          <w:tcPr>
            <w:tcW w:type="dxa" w:w="2664"/>
          </w:tcPr>
          <w:p>
            <w:r>
              <w:rPr>
                <w:sz w:val="18"/>
              </w:rPr>
              <w:t>(a) row-conditional co-occurrence heat map, Blues, 0 to 100. (b) forest plot of odds ratios on a log x axis from 0.03 to 30 with a dashed null line at 1</w:t>
            </w:r>
          </w:p>
        </w:tc>
        <w:tc>
          <w:tcPr>
            <w:tcW w:type="dxa" w:w="1872"/>
          </w:tcPr>
          <w:p>
            <w:r>
              <w:rPr>
                <w:sz w:val="18"/>
              </w:rPr>
              <w:t>Cell percentages as integers; odds ratio markers with Fisher exact 95% intervals</w:t>
            </w:r>
          </w:p>
        </w:tc>
      </w:tr>
      <w:tr>
        <w:tc>
          <w:tcPr>
            <w:tcW w:type="dxa" w:w="1800"/>
          </w:tcPr>
          <w:p>
            <w:r>
              <w:rPr>
                <w:sz w:val="18"/>
              </w:rPr>
              <w:t>fig_error_structure.png</w:t>
            </w:r>
          </w:p>
        </w:tc>
        <w:tc>
          <w:tcPr>
            <w:tcW w:type="dxa" w:w="1224"/>
          </w:tcPr>
          <w:p>
            <w:r>
              <w:rPr>
                <w:sz w:val="18"/>
              </w:rPr>
              <w:t>fig_error_structure()</w:t>
            </w:r>
          </w:p>
        </w:tc>
        <w:tc>
          <w:tcPr>
            <w:tcW w:type="dxa" w:w="2160"/>
          </w:tcPr>
          <w:p>
            <w:r>
              <w:rPr>
                <w:sz w:val="18"/>
              </w:rPr>
              <w:t>results_e1_morphosyntax_items.csv</w:t>
            </w:r>
          </w:p>
        </w:tc>
        <w:tc>
          <w:tcPr>
            <w:tcW w:type="dxa" w:w="2664"/>
          </w:tcPr>
          <w:p>
            <w:r>
              <w:rPr>
                <w:sz w:val="18"/>
              </w:rPr>
              <w:t>(a) case confusion heat map, Reds, 0 to 100, rows gold × columns predicted plus a no-case column. (b) line plot of accuracy by capability tier, one line per case class</w:t>
            </w:r>
          </w:p>
        </w:tc>
        <w:tc>
          <w:tcPr>
            <w:tcW w:type="dxa" w:w="1872"/>
          </w:tcPr>
          <w:p>
            <w:r>
              <w:rPr>
                <w:sz w:val="18"/>
              </w:rPr>
              <w:t>Confusion percentages to one decimal; per-class OR per tier and its p value annotated next to each line</w:t>
            </w:r>
          </w:p>
        </w:tc>
      </w:tr>
    </w:tbl>
    <w:p>
      <w:pPr>
        <w:pStyle w:val="Heading1"/>
      </w:pPr>
      <w:r>
        <w:rPr>
          <w:color w:val="000000"/>
        </w:rPr>
        <w:t>Part E. Reproducing every number</w:t>
      </w:r>
    </w:p>
    <w:p>
      <w:r>
        <w:rPr>
          <w:b w:val="0"/>
          <w:i w:val="0"/>
        </w:rPr>
        <w:t>From the repository root, with the dependencies in requirements.txt installed:</w:t>
      </w:r>
    </w:p>
    <w:p>
      <w:pPr>
        <w:spacing w:after="0"/>
      </w:pPr>
      <w:r>
        <w:rPr>
          <w:rFonts w:ascii="Consolas" w:hAnsi="Consolas"/>
          <w:sz w:val="17"/>
        </w:rPr>
        <w:t>cd code</w:t>
      </w:r>
    </w:p>
    <w:p>
      <w:pPr>
        <w:spacing w:after="0"/>
      </w:pPr>
      <w:r>
        <w:rPr>
          <w:rFonts w:ascii="Consolas" w:hAnsi="Consolas"/>
          <w:sz w:val="17"/>
        </w:rPr>
        <w:t>python 01_survey_analysis.py --data ../data/arabic_genai_competency_data.csv \</w:t>
      </w:r>
    </w:p>
    <w:p>
      <w:pPr>
        <w:spacing w:after="0"/>
      </w:pPr>
      <w:r>
        <w:rPr>
          <w:rFonts w:ascii="Consolas" w:hAnsi="Consolas"/>
          <w:sz w:val="17"/>
        </w:rPr>
        <w:t xml:space="preserve">    --coding ../results/q4_coding_reconciliation.csv \</w:t>
      </w:r>
    </w:p>
    <w:p>
      <w:pPr>
        <w:spacing w:after="0"/>
      </w:pPr>
      <w:r>
        <w:rPr>
          <w:rFonts w:ascii="Consolas" w:hAnsi="Consolas"/>
          <w:sz w:val="17"/>
        </w:rPr>
        <w:t xml:space="preserve">    --themes ../results/barrier_theme_coding.csv --out ../results</w:t>
      </w:r>
    </w:p>
    <w:p>
      <w:pPr>
        <w:spacing w:after="0"/>
      </w:pPr>
      <w:r>
        <w:rPr>
          <w:rFonts w:ascii="Consolas" w:hAnsi="Consolas"/>
          <w:sz w:val="17"/>
        </w:rPr>
        <w:t>python 02_probe_morphosyntax.py score --raw ../probes/probe_morphosyntax_raw.json \</w:t>
      </w:r>
    </w:p>
    <w:p>
      <w:pPr>
        <w:spacing w:after="0"/>
      </w:pPr>
      <w:r>
        <w:rPr>
          <w:rFonts w:ascii="Consolas" w:hAnsi="Consolas"/>
          <w:sz w:val="17"/>
        </w:rPr>
        <w:t xml:space="preserve">    --gold ../probes/probe_morphosyntax_gold.json --out ../results</w:t>
      </w:r>
    </w:p>
    <w:p>
      <w:pPr>
        <w:spacing w:after="0"/>
      </w:pPr>
      <w:r>
        <w:rPr>
          <w:rFonts w:ascii="Consolas" w:hAnsi="Consolas"/>
          <w:sz w:val="17"/>
        </w:rPr>
        <w:t>python 03_probe_citations.py verify --raw ../probes/probe_citation_raw.json \</w:t>
      </w:r>
    </w:p>
    <w:p>
      <w:pPr>
        <w:spacing w:after="0"/>
      </w:pPr>
      <w:r>
        <w:rPr>
          <w:rFonts w:ascii="Consolas" w:hAnsi="Consolas"/>
          <w:sz w:val="17"/>
        </w:rPr>
        <w:t xml:space="preserve">    --out ../results --openalex-key $OPENALEX_API_KEY</w:t>
      </w:r>
    </w:p>
    <w:p>
      <w:pPr>
        <w:spacing w:after="0"/>
      </w:pPr>
      <w:r>
        <w:rPr>
          <w:rFonts w:ascii="Consolas" w:hAnsi="Consolas"/>
          <w:sz w:val="17"/>
        </w:rPr>
        <w:t>python 04_probe_confabulation.py score --raw ../probes/probe_e3_raw.json \</w:t>
      </w:r>
    </w:p>
    <w:p>
      <w:pPr>
        <w:spacing w:after="0"/>
      </w:pPr>
      <w:r>
        <w:rPr>
          <w:rFonts w:ascii="Consolas" w:hAnsi="Consolas"/>
          <w:sz w:val="17"/>
        </w:rPr>
        <w:t xml:space="preserve">    --items ../probes/probe_e3_items.csv --out ../results</w:t>
      </w:r>
    </w:p>
    <w:p>
      <w:pPr>
        <w:spacing w:after="0"/>
      </w:pPr>
      <w:r>
        <w:rPr>
          <w:rFonts w:ascii="Consolas" w:hAnsi="Consolas"/>
          <w:sz w:val="17"/>
        </w:rPr>
        <w:t>python 05_figures.py --results ../results --data ../data --out ../results/figures</w:t>
      </w:r>
    </w:p>
    <w:p>
      <w:pPr>
        <w:spacing w:after="0"/>
      </w:pPr>
      <w:r>
        <w:rPr>
          <w:rFonts w:ascii="Consolas" w:hAnsi="Consolas"/>
          <w:sz w:val="17"/>
        </w:rPr>
        <w:t>python 06_figures_extra.py --results ../results --out ../results/figures</w:t>
      </w:r>
    </w:p>
    <w:p>
      <w:r>
        <w:rPr>
          <w:b w:val="0"/>
          <w:i w:val="0"/>
        </w:rPr>
      </w:r>
    </w:p>
    <w:p>
      <w:r>
        <w:rPr>
          <w:b w:val="0"/>
          <w:i w:val="0"/>
        </w:rPr>
        <w:t>Every step except the Probe 2 verification runs offline from the bundled files. Probe 2 queries Crossref and OpenAlex live, so its counts can drift as records are added to either index; the published counts are a snapshot.</w:t>
      </w:r>
    </w:p>
    <w:p>
      <w:r>
        <w:rPr>
          <w:b w:val="0"/>
          <w:i w:val="0"/>
        </w:rPr>
        <w:t>Verified during preparation of this document: all six scripts execute without error on the released data, and all eight figures regenerate. The survey script reproduces every reported survey statistic except the two calibration odds ratios discussed in A11.</w:t>
      </w:r>
    </w:p>
    <w:p>
      <w:pPr>
        <w:pStyle w:val="Heading1"/>
      </w:pPr>
      <w:r>
        <w:rPr>
          <w:color w:val="000000"/>
        </w:rPr>
        <w:t>Part F. Open issues to settle before publication</w:t>
      </w:r>
    </w:p>
    <w:p>
      <w:r>
        <w:rPr>
          <w:b w:val="0"/>
          <w:i w:val="0"/>
        </w:rPr>
        <w:t>These came out of reading the code against the result tables and the manuscript. They are listed in the order I would deal with them.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2088"/>
          </w:tcPr>
          <w:p>
            <w:r>
              <w:rPr>
                <w:b/>
                <w:sz w:val="18"/>
              </w:rPr>
              <w:t>Issue</w:t>
            </w:r>
          </w:p>
        </w:tc>
        <w:tc>
          <w:tcPr>
            <w:tcW w:type="dxa" w:w="3600"/>
          </w:tcPr>
          <w:p>
            <w:r>
              <w:rPr>
                <w:b/>
                <w:sz w:val="18"/>
              </w:rPr>
              <w:t>What the files show</w:t>
            </w:r>
          </w:p>
        </w:tc>
        <w:tc>
          <w:tcPr>
            <w:tcW w:type="dxa" w:w="3384"/>
          </w:tcPr>
          <w:p>
            <w:r>
              <w:rPr>
                <w:b/>
                <w:sz w:val="18"/>
              </w:rPr>
              <w:t>Suggested action</w:t>
            </w:r>
          </w:p>
        </w:tc>
      </w:tr>
      <w:tr>
        <w:tc>
          <w:tcPr>
            <w:tcW w:type="dxa" w:w="432"/>
          </w:tcPr>
          <w:p>
            <w:r>
              <w:rPr>
                <w:sz w:val="18"/>
              </w:rPr>
              <w:t>1</w:t>
            </w:r>
          </w:p>
        </w:tc>
        <w:tc>
          <w:tcPr>
            <w:tcW w:type="dxa" w:w="2088"/>
          </w:tcPr>
          <w:p>
            <w:r>
              <w:rPr>
                <w:sz w:val="18"/>
              </w:rPr>
              <w:t>Calibration odds ratios do not reproduce</w:t>
            </w:r>
          </w:p>
        </w:tc>
        <w:tc>
          <w:tcPr>
            <w:tcW w:type="dxa" w:w="3600"/>
          </w:tcPr>
          <w:p>
            <w:r>
              <w:rPr>
                <w:sz w:val="18"/>
              </w:rPr>
              <w:t>01_survey_analysis.py returns OR_PC 1.81 (p = .032) for T2; the manuscript reports 1.56 (p = .086). A reader running the script gets a significant coefficient where the paper reports a null one.</w:t>
            </w:r>
          </w:p>
        </w:tc>
        <w:tc>
          <w:tcPr>
            <w:tcW w:type="dxa" w:w="3384"/>
          </w:tcPr>
          <w:p>
            <w:r>
              <w:rPr>
                <w:sz w:val="18"/>
              </w:rPr>
              <w:t>Identify which model specification produced the published values and ship that one, or update the manuscript to the shipped script's output.</w:t>
            </w:r>
          </w:p>
        </w:tc>
      </w:tr>
      <w:tr>
        <w:tc>
          <w:tcPr>
            <w:tcW w:type="dxa" w:w="432"/>
          </w:tcPr>
          <w:p>
            <w:r>
              <w:rPr>
                <w:sz w:val="18"/>
              </w:rPr>
              <w:t>2</w:t>
            </w:r>
          </w:p>
        </w:tc>
        <w:tc>
          <w:tcPr>
            <w:tcW w:type="dxa" w:w="2088"/>
          </w:tcPr>
          <w:p>
            <w:r>
              <w:rPr>
                <w:sz w:val="18"/>
              </w:rPr>
              <w:t>Annotation procedure described differently in the paper and the files</w:t>
            </w:r>
          </w:p>
        </w:tc>
        <w:tc>
          <w:tcPr>
            <w:tcW w:type="dxa" w:w="3600"/>
          </w:tcPr>
          <w:p>
            <w:r>
              <w:rPr>
                <w:sz w:val="18"/>
              </w:rPr>
              <w:t>The manuscript states two independent annotators with blind third-annotator adjudication. q4_adjudication_sheet.csv has columns coder_A_rule_based, coder_B_independent and automated_adjudication, with human_decision empty on all 29 rows.</w:t>
            </w:r>
          </w:p>
        </w:tc>
        <w:tc>
          <w:tcPr>
            <w:tcW w:type="dxa" w:w="3384"/>
          </w:tcPr>
          <w:p>
            <w:r>
              <w:rPr>
                <w:sz w:val="18"/>
              </w:rPr>
              <w:t>Either complete the human confirmation pass before release, or change the Methods text to describe what was actually done. Publishing the repository while the paper says two human annotators creates a visible contradiction.</w:t>
            </w:r>
          </w:p>
        </w:tc>
      </w:tr>
      <w:tr>
        <w:tc>
          <w:tcPr>
            <w:tcW w:type="dxa" w:w="432"/>
          </w:tcPr>
          <w:p>
            <w:r>
              <w:rPr>
                <w:sz w:val="18"/>
              </w:rPr>
              <w:t>3</w:t>
            </w:r>
          </w:p>
        </w:tc>
        <w:tc>
          <w:tcPr>
            <w:tcW w:type="dxa" w:w="2088"/>
          </w:tcPr>
          <w:p>
            <w:r>
              <w:rPr>
                <w:sz w:val="18"/>
              </w:rPr>
              <w:t>Two sets of kappas, one label</w:t>
            </w:r>
          </w:p>
        </w:tc>
        <w:tc>
          <w:tcPr>
            <w:tcW w:type="dxa" w:w="3600"/>
          </w:tcPr>
          <w:p>
            <w:r>
              <w:rPr>
                <w:sz w:val="18"/>
              </w:rPr>
              <w:t>First-pass kappas run .36 to 1.00 (T1 = .429); post-adjudication kappas run .72 to 1.00 (T1 = .873). The manuscript says first-pass; fig_survey_barriers.png plots the post-adjudication set as 'coder agreement'.</w:t>
            </w:r>
          </w:p>
        </w:tc>
        <w:tc>
          <w:tcPr>
            <w:tcW w:type="dxa" w:w="3384"/>
          </w:tcPr>
          <w:p>
            <w:r>
              <w:rPr>
                <w:sz w:val="18"/>
              </w:rPr>
              <w:t>Pick one set, label the figure accordingly, and keep the other file clearly named as the alternative.</w:t>
            </w:r>
          </w:p>
        </w:tc>
      </w:tr>
      <w:tr>
        <w:tc>
          <w:tcPr>
            <w:tcW w:type="dxa" w:w="432"/>
          </w:tcPr>
          <w:p>
            <w:r>
              <w:rPr>
                <w:sz w:val="18"/>
              </w:rPr>
              <w:t>4</w:t>
            </w:r>
          </w:p>
        </w:tc>
        <w:tc>
          <w:tcPr>
            <w:tcW w:type="dxa" w:w="2088"/>
          </w:tcPr>
          <w:p>
            <w:r>
              <w:rPr>
                <w:sz w:val="18"/>
              </w:rPr>
              <w:t>Superseded working files contradict the paper</w:t>
            </w:r>
          </w:p>
        </w:tc>
        <w:tc>
          <w:tcPr>
            <w:tcW w:type="dxa" w:w="3600"/>
          </w:tcPr>
          <w:p>
            <w:r>
              <w:rPr>
                <w:sz w:val="18"/>
              </w:rPr>
              <w:t>corrected_statistics_paper2.csv gives the stance comparison as F(2, 127) = 16.77 and consistency_audit_paper2.csv gives prevalences of 76.6, 39.7 and 14.2. Both are from an earlier revision.</w:t>
            </w:r>
          </w:p>
        </w:tc>
        <w:tc>
          <w:tcPr>
            <w:tcW w:type="dxa" w:w="3384"/>
          </w:tcPr>
          <w:p>
            <w:r>
              <w:rPr>
                <w:sz w:val="18"/>
              </w:rPr>
              <w:t>Moved to archive_superseded/ with a README explaining their status. Delete them instead if you would rather not publish the revision history.</w:t>
            </w:r>
          </w:p>
        </w:tc>
      </w:tr>
      <w:tr>
        <w:tc>
          <w:tcPr>
            <w:tcW w:type="dxa" w:w="432"/>
          </w:tcPr>
          <w:p>
            <w:r>
              <w:rPr>
                <w:sz w:val="18"/>
              </w:rPr>
              <w:t>5</w:t>
            </w:r>
          </w:p>
        </w:tc>
        <w:tc>
          <w:tcPr>
            <w:tcW w:type="dxa" w:w="2088"/>
          </w:tcPr>
          <w:p>
            <w:r>
              <w:rPr>
                <w:sz w:val="18"/>
              </w:rPr>
              <w:t>Similarity threshold not tested</w:t>
            </w:r>
          </w:p>
        </w:tc>
        <w:tc>
          <w:tcPr>
            <w:tcW w:type="dxa" w:w="3600"/>
          </w:tcPr>
          <w:p>
            <w:r>
              <w:rPr>
                <w:sz w:val="18"/>
              </w:rPr>
              <w:t>The three-way reference classification turns on sim ≥ 0.60 under an approximate-string metric.</w:t>
            </w:r>
          </w:p>
        </w:tc>
        <w:tc>
          <w:tcPr>
            <w:tcW w:type="dxa" w:w="3384"/>
          </w:tcPr>
          <w:p>
            <w:r>
              <w:rPr>
                <w:sz w:val="18"/>
              </w:rPr>
              <w:t>Report the split at 0.50 and 0.70 as a one-paragraph sensitivity check.</w:t>
            </w:r>
          </w:p>
        </w:tc>
      </w:tr>
      <w:tr>
        <w:tc>
          <w:tcPr>
            <w:tcW w:type="dxa" w:w="432"/>
          </w:tcPr>
          <w:p>
            <w:r>
              <w:rPr>
                <w:sz w:val="18"/>
              </w:rPr>
              <w:t>6</w:t>
            </w:r>
          </w:p>
        </w:tc>
        <w:tc>
          <w:tcPr>
            <w:tcW w:type="dxa" w:w="2088"/>
          </w:tcPr>
          <w:p>
            <w:r>
              <w:rPr>
                <w:sz w:val="18"/>
              </w:rPr>
              <w:t>Sphericity not assessed</w:t>
            </w:r>
          </w:p>
        </w:tc>
        <w:tc>
          <w:tcPr>
            <w:tcW w:type="dxa" w:w="3600"/>
          </w:tcPr>
          <w:p>
            <w:r>
              <w:rPr>
                <w:sz w:val="18"/>
              </w:rPr>
              <w:t>The repeated-measures F uses an uncorrected error term across four levels.</w:t>
            </w:r>
          </w:p>
        </w:tc>
        <w:tc>
          <w:tcPr>
            <w:tcW w:type="dxa" w:w="3384"/>
          </w:tcPr>
          <w:p>
            <w:r>
              <w:rPr>
                <w:sz w:val="18"/>
              </w:rPr>
              <w:t>Report the Greenhouse-Geisser corrected result, or state that the correction does not change the conclusion.</w:t>
            </w:r>
          </w:p>
        </w:tc>
      </w:tr>
      <w:tr>
        <w:tc>
          <w:tcPr>
            <w:tcW w:type="dxa" w:w="432"/>
          </w:tcPr>
          <w:p>
            <w:r>
              <w:rPr>
                <w:sz w:val="18"/>
              </w:rPr>
              <w:t>7</w:t>
            </w:r>
          </w:p>
        </w:tc>
        <w:tc>
          <w:tcPr>
            <w:tcW w:type="dxa" w:w="2088"/>
          </w:tcPr>
          <w:p>
            <w:r>
              <w:rPr>
                <w:sz w:val="18"/>
              </w:rPr>
              <w:t>Quasi-identifiers retained in the public file</w:t>
            </w:r>
          </w:p>
        </w:tc>
        <w:tc>
          <w:tcPr>
            <w:tcW w:type="dxa" w:w="3600"/>
          </w:tcPr>
          <w:p>
            <w:r>
              <w:rPr>
                <w:sz w:val="18"/>
              </w:rPr>
              <w:t>study_level and gpa are released per respondent. Within one department they are weakly identifying in combination.</w:t>
            </w:r>
          </w:p>
        </w:tc>
        <w:tc>
          <w:tcPr>
            <w:tcW w:type="dxa" w:w="3384"/>
          </w:tcPr>
          <w:p>
            <w:r>
              <w:rPr>
                <w:sz w:val="18"/>
              </w:rPr>
              <w:t>Low risk at n = 145 and defensible as released, but consider coarsening gpa into bands.</w:t>
            </w:r>
          </w:p>
        </w:tc>
      </w:tr>
    </w:tbl>
    <w:p>
      <w:r>
        <w:br w:type="page"/>
      </w:r>
    </w:p>
    <w:p>
      <w:pPr>
        <w:pStyle w:val="Heading1"/>
      </w:pPr>
      <w:r>
        <w:rPr>
          <w:color w:val="000000"/>
        </w:rPr>
        <w:t>Appendix. Where each reported number comes from</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Pr>
                <w:b/>
                <w:sz w:val="18"/>
              </w:rPr>
              <w:t>Reported quantity</w:t>
            </w:r>
          </w:p>
        </w:tc>
        <w:tc>
          <w:tcPr>
            <w:tcW w:type="dxa" w:w="2736"/>
          </w:tcPr>
          <w:p>
            <w:r>
              <w:rPr>
                <w:b/>
                <w:sz w:val="18"/>
              </w:rPr>
              <w:t>Value</w:t>
            </w:r>
          </w:p>
        </w:tc>
        <w:tc>
          <w:tcPr>
            <w:tcW w:type="dxa" w:w="3600"/>
          </w:tcPr>
          <w:p>
            <w:r>
              <w:rPr>
                <w:b/>
                <w:sz w:val="18"/>
              </w:rPr>
              <w:t>File</w:t>
            </w:r>
          </w:p>
        </w:tc>
      </w:tr>
      <w:tr>
        <w:tc>
          <w:tcPr>
            <w:tcW w:type="dxa" w:w="3024"/>
          </w:tcPr>
          <w:p>
            <w:r>
              <w:rPr>
                <w:sz w:val="18"/>
              </w:rPr>
              <w:t>Respondents</w:t>
            </w:r>
          </w:p>
        </w:tc>
        <w:tc>
          <w:tcPr>
            <w:tcW w:type="dxa" w:w="2736"/>
          </w:tcPr>
          <w:p>
            <w:r>
              <w:rPr>
                <w:sz w:val="18"/>
              </w:rPr>
              <w:t>145</w:t>
            </w:r>
          </w:p>
        </w:tc>
        <w:tc>
          <w:tcPr>
            <w:tcW w:type="dxa" w:w="3600"/>
          </w:tcPr>
          <w:p>
            <w:r>
              <w:rPr>
                <w:sz w:val="18"/>
              </w:rPr>
              <w:t>data/arabic_genai_competency_data.csv</w:t>
            </w:r>
          </w:p>
        </w:tc>
      </w:tr>
      <w:tr>
        <w:tc>
          <w:tcPr>
            <w:tcW w:type="dxa" w:w="3024"/>
          </w:tcPr>
          <w:p>
            <w:r>
              <w:rPr>
                <w:sz w:val="18"/>
              </w:rPr>
              <w:t>Barrier corpus denominator</w:t>
            </w:r>
          </w:p>
        </w:tc>
        <w:tc>
          <w:tcPr>
            <w:tcW w:type="dxa" w:w="2736"/>
          </w:tcPr>
          <w:p>
            <w:r>
              <w:rPr>
                <w:sz w:val="18"/>
              </w:rPr>
              <w:t>141</w:t>
            </w:r>
          </w:p>
        </w:tc>
        <w:tc>
          <w:tcPr>
            <w:tcW w:type="dxa" w:w="3600"/>
          </w:tcPr>
          <w:p>
            <w:r>
              <w:rPr>
                <w:sz w:val="18"/>
              </w:rPr>
              <w:t>results/repro_study1_statistics.json</w:t>
            </w:r>
          </w:p>
        </w:tc>
      </w:tr>
      <w:tr>
        <w:tc>
          <w:tcPr>
            <w:tcW w:type="dxa" w:w="3024"/>
          </w:tcPr>
          <w:p>
            <w:r>
              <w:rPr>
                <w:sz w:val="18"/>
              </w:rPr>
              <w:t>Dimension means</w:t>
            </w:r>
          </w:p>
        </w:tc>
        <w:tc>
          <w:tcPr>
            <w:tcW w:type="dxa" w:w="2736"/>
          </w:tcPr>
          <w:p>
            <w:r>
              <w:rPr>
                <w:sz w:val="18"/>
              </w:rPr>
              <w:t>2.76 / 2.97 / 3.37 / 4.07</w:t>
            </w:r>
          </w:p>
        </w:tc>
        <w:tc>
          <w:tcPr>
            <w:tcW w:type="dxa" w:w="3600"/>
          </w:tcPr>
          <w:p>
            <w:r>
              <w:rPr>
                <w:sz w:val="18"/>
              </w:rPr>
              <w:t>results/repro_dimension_profile.csv</w:t>
            </w:r>
          </w:p>
        </w:tc>
      </w:tr>
      <w:tr>
        <w:tc>
          <w:tcPr>
            <w:tcW w:type="dxa" w:w="3024"/>
          </w:tcPr>
          <w:p>
            <w:r>
              <w:rPr>
                <w:sz w:val="18"/>
              </w:rPr>
              <w:t>Subscale alphas</w:t>
            </w:r>
          </w:p>
        </w:tc>
        <w:tc>
          <w:tcPr>
            <w:tcW w:type="dxa" w:w="2736"/>
          </w:tcPr>
          <w:p>
            <w:r>
              <w:rPr>
                <w:sz w:val="18"/>
              </w:rPr>
              <w:t>.885 / .897 / .812 / .943</w:t>
            </w:r>
          </w:p>
        </w:tc>
        <w:tc>
          <w:tcPr>
            <w:tcW w:type="dxa" w:w="3600"/>
          </w:tcPr>
          <w:p>
            <w:r>
              <w:rPr>
                <w:sz w:val="18"/>
              </w:rPr>
              <w:t>results/results_subscale_reliability.csv</w:t>
            </w:r>
          </w:p>
        </w:tc>
      </w:tr>
      <w:tr>
        <w:tc>
          <w:tcPr>
            <w:tcW w:type="dxa" w:w="3024"/>
          </w:tcPr>
          <w:p>
            <w:r>
              <w:rPr>
                <w:sz w:val="18"/>
              </w:rPr>
              <w:t>Aspiration vs application</w:t>
            </w:r>
          </w:p>
        </w:tc>
        <w:tc>
          <w:tcPr>
            <w:tcW w:type="dxa" w:w="2736"/>
          </w:tcPr>
          <w:p>
            <w:r>
              <w:rPr>
                <w:sz w:val="18"/>
              </w:rPr>
              <w:t>t(143) = 13.68, dᶻ = 1.14, diff 1.11</w:t>
            </w:r>
          </w:p>
        </w:tc>
        <w:tc>
          <w:tcPr>
            <w:tcW w:type="dxa" w:w="3600"/>
          </w:tcPr>
          <w:p>
            <w:r>
              <w:rPr>
                <w:sz w:val="18"/>
              </w:rPr>
              <w:t>results/repro_study1_statistics.json</w:t>
            </w:r>
          </w:p>
        </w:tc>
      </w:tr>
      <w:tr>
        <w:tc>
          <w:tcPr>
            <w:tcW w:type="dxa" w:w="3024"/>
          </w:tcPr>
          <w:p>
            <w:r>
              <w:rPr>
                <w:sz w:val="18"/>
              </w:rPr>
              <w:t>Repeated-measures ANOVA</w:t>
            </w:r>
          </w:p>
        </w:tc>
        <w:tc>
          <w:tcPr>
            <w:tcW w:type="dxa" w:w="2736"/>
          </w:tcPr>
          <w:p>
            <w:r>
              <w:rPr>
                <w:sz w:val="18"/>
              </w:rPr>
              <w:t>F(3, 429) = 115.53</w:t>
            </w:r>
          </w:p>
        </w:tc>
        <w:tc>
          <w:tcPr>
            <w:tcW w:type="dxa" w:w="3600"/>
          </w:tcPr>
          <w:p>
            <w:r>
              <w:rPr>
                <w:sz w:val="18"/>
              </w:rPr>
              <w:t>results/repro_study1_statistics.json</w:t>
            </w:r>
          </w:p>
        </w:tc>
      </w:tr>
      <w:tr>
        <w:tc>
          <w:tcPr>
            <w:tcW w:type="dxa" w:w="3024"/>
          </w:tcPr>
          <w:p>
            <w:r>
              <w:rPr>
                <w:sz w:val="18"/>
              </w:rPr>
              <w:t>Stance comparison</w:t>
            </w:r>
          </w:p>
        </w:tc>
        <w:tc>
          <w:tcPr>
            <w:tcW w:type="dxa" w:w="2736"/>
          </w:tcPr>
          <w:p>
            <w:r>
              <w:rPr>
                <w:sz w:val="18"/>
              </w:rPr>
              <w:t>F(2, 132) = 17.76, η² = .212, n = 135</w:t>
            </w:r>
          </w:p>
        </w:tc>
        <w:tc>
          <w:tcPr>
            <w:tcW w:type="dxa" w:w="3600"/>
          </w:tcPr>
          <w:p>
            <w:r>
              <w:rPr>
                <w:sz w:val="18"/>
              </w:rPr>
              <w:t>results/repro_study1_statistics.json</w:t>
            </w:r>
          </w:p>
        </w:tc>
      </w:tr>
      <w:tr>
        <w:tc>
          <w:tcPr>
            <w:tcW w:type="dxa" w:w="3024"/>
          </w:tcPr>
          <w:p>
            <w:r>
              <w:rPr>
                <w:sz w:val="18"/>
              </w:rPr>
              <w:t>Case accuracy range</w:t>
            </w:r>
          </w:p>
        </w:tc>
        <w:tc>
          <w:tcPr>
            <w:tcW w:type="dxa" w:w="2736"/>
          </w:tcPr>
          <w:p>
            <w:r>
              <w:rPr>
                <w:sz w:val="18"/>
              </w:rPr>
              <w:t>64.0% to 80.0%</w:t>
            </w:r>
          </w:p>
        </w:tc>
        <w:tc>
          <w:tcPr>
            <w:tcW w:type="dxa" w:w="3600"/>
          </w:tcPr>
          <w:p>
            <w:r>
              <w:rPr>
                <w:sz w:val="18"/>
              </w:rPr>
              <w:t>results/results_e1_model_summary.csv</w:t>
            </w:r>
          </w:p>
        </w:tc>
      </w:tr>
      <w:tr>
        <w:tc>
          <w:tcPr>
            <w:tcW w:type="dxa" w:w="3024"/>
          </w:tcPr>
          <w:p>
            <w:r>
              <w:rPr>
                <w:sz w:val="18"/>
              </w:rPr>
              <w:t>Pooled accusative correct</w:t>
            </w:r>
          </w:p>
        </w:tc>
        <w:tc>
          <w:tcPr>
            <w:tcW w:type="dxa" w:w="2736"/>
          </w:tcPr>
          <w:p>
            <w:r>
              <w:rPr>
                <w:sz w:val="18"/>
              </w:rPr>
              <w:t>61.0%</w:t>
            </w:r>
          </w:p>
        </w:tc>
        <w:tc>
          <w:tcPr>
            <w:tcW w:type="dxa" w:w="3600"/>
          </w:tcPr>
          <w:p>
            <w:r>
              <w:rPr>
                <w:sz w:val="18"/>
              </w:rPr>
              <w:t>results/results_e1_case_confusion.csv</w:t>
            </w:r>
          </w:p>
        </w:tc>
      </w:tr>
      <w:tr>
        <w:tc>
          <w:tcPr>
            <w:tcW w:type="dxa" w:w="3024"/>
          </w:tcPr>
          <w:p>
            <w:r>
              <w:rPr>
                <w:sz w:val="18"/>
              </w:rPr>
              <w:t>Accusative capability trend</w:t>
            </w:r>
          </w:p>
        </w:tc>
        <w:tc>
          <w:tcPr>
            <w:tcW w:type="dxa" w:w="2736"/>
          </w:tcPr>
          <w:p>
            <w:r>
              <w:rPr>
                <w:sz w:val="18"/>
              </w:rPr>
              <w:t>OR 0.97 per tier, p = .795</w:t>
            </w:r>
          </w:p>
        </w:tc>
        <w:tc>
          <w:tcPr>
            <w:tcW w:type="dxa" w:w="3600"/>
          </w:tcPr>
          <w:p>
            <w:r>
              <w:rPr>
                <w:sz w:val="18"/>
              </w:rPr>
              <w:t>results/results_e1_tier_trend.csv</w:t>
            </w:r>
          </w:p>
        </w:tc>
      </w:tr>
      <w:tr>
        <w:tc>
          <w:tcPr>
            <w:tcW w:type="dxa" w:w="3024"/>
          </w:tcPr>
          <w:p>
            <w:r>
              <w:rPr>
                <w:sz w:val="18"/>
              </w:rPr>
              <w:t>References supplied</w:t>
            </w:r>
          </w:p>
        </w:tc>
        <w:tc>
          <w:tcPr>
            <w:tcW w:type="dxa" w:w="2736"/>
          </w:tcPr>
          <w:p>
            <w:r>
              <w:rPr>
                <w:sz w:val="18"/>
              </w:rPr>
              <w:t>177</w:t>
            </w:r>
          </w:p>
        </w:tc>
        <w:tc>
          <w:tcPr>
            <w:tcW w:type="dxa" w:w="3600"/>
          </w:tcPr>
          <w:p>
            <w:r>
              <w:rPr>
                <w:sz w:val="18"/>
              </w:rPr>
              <w:t>results/results_e2_model_summary.csv</w:t>
            </w:r>
          </w:p>
        </w:tc>
      </w:tr>
      <w:tr>
        <w:tc>
          <w:tcPr>
            <w:tcW w:type="dxa" w:w="3024"/>
          </w:tcPr>
          <w:p>
            <w:r>
              <w:rPr>
                <w:sz w:val="18"/>
              </w:rPr>
              <w:t>Verified as supplied</w:t>
            </w:r>
          </w:p>
        </w:tc>
        <w:tc>
          <w:tcPr>
            <w:tcW w:type="dxa" w:w="2736"/>
          </w:tcPr>
          <w:p>
            <w:r>
              <w:rPr>
                <w:sz w:val="18"/>
              </w:rPr>
              <w:t>29, 16.4%</w:t>
            </w:r>
          </w:p>
        </w:tc>
        <w:tc>
          <w:tcPr>
            <w:tcW w:type="dxa" w:w="3600"/>
          </w:tcPr>
          <w:p>
            <w:r>
              <w:rPr>
                <w:sz w:val="18"/>
              </w:rPr>
              <w:t>results/results_e2_model_summary.csv</w:t>
            </w:r>
          </w:p>
        </w:tc>
      </w:tr>
      <w:tr>
        <w:tc>
          <w:tcPr>
            <w:tcW w:type="dxa" w:w="3024"/>
          </w:tcPr>
          <w:p>
            <w:r>
              <w:rPr>
                <w:sz w:val="18"/>
              </w:rPr>
              <w:t>No trace in either index</w:t>
            </w:r>
          </w:p>
        </w:tc>
        <w:tc>
          <w:tcPr>
            <w:tcW w:type="dxa" w:w="2736"/>
          </w:tcPr>
          <w:p>
            <w:r>
              <w:rPr>
                <w:sz w:val="18"/>
              </w:rPr>
              <w:t>91, 51.4%</w:t>
            </w:r>
          </w:p>
        </w:tc>
        <w:tc>
          <w:tcPr>
            <w:tcW w:type="dxa" w:w="3600"/>
          </w:tcPr>
          <w:p>
            <w:r>
              <w:rPr>
                <w:sz w:val="18"/>
              </w:rPr>
              <w:t>results/results_e2_model_summary.csv</w:t>
            </w:r>
          </w:p>
        </w:tc>
      </w:tr>
      <w:tr>
        <w:tc>
          <w:tcPr>
            <w:tcW w:type="dxa" w:w="3024"/>
          </w:tcPr>
          <w:p>
            <w:r>
              <w:rPr>
                <w:sz w:val="18"/>
              </w:rPr>
              <w:t>Confabulation, strict</w:t>
            </w:r>
          </w:p>
        </w:tc>
        <w:tc>
          <w:tcPr>
            <w:tcW w:type="dxa" w:w="2736"/>
          </w:tcPr>
          <w:p>
            <w:r>
              <w:rPr>
                <w:sz w:val="18"/>
              </w:rPr>
              <w:t>0 of 156 replies</w:t>
            </w:r>
          </w:p>
        </w:tc>
        <w:tc>
          <w:tcPr>
            <w:tcW w:type="dxa" w:w="3600"/>
          </w:tcPr>
          <w:p>
            <w:r>
              <w:rPr>
                <w:sz w:val="18"/>
              </w:rPr>
              <w:t>results/results_e3_model_summary.csv</w:t>
            </w:r>
          </w:p>
        </w:tc>
      </w:tr>
      <w:tr>
        <w:tc>
          <w:tcPr>
            <w:tcW w:type="dxa" w:w="3024"/>
          </w:tcPr>
          <w:p>
            <w:r>
              <w:rPr>
                <w:sz w:val="18"/>
              </w:rPr>
              <w:t>Confabulation, wider</w:t>
            </w:r>
          </w:p>
        </w:tc>
        <w:tc>
          <w:tcPr>
            <w:tcW w:type="dxa" w:w="2736"/>
          </w:tcPr>
          <w:p>
            <w:r>
              <w:rPr>
                <w:sz w:val="18"/>
              </w:rPr>
              <w:t>23 of 156, 14.7%</w:t>
            </w:r>
          </w:p>
        </w:tc>
        <w:tc>
          <w:tcPr>
            <w:tcW w:type="dxa" w:w="3600"/>
          </w:tcPr>
          <w:p>
            <w:r>
              <w:rPr>
                <w:sz w:val="18"/>
              </w:rPr>
              <w:t>results/results_e3_model_summary.csv</w:t>
            </w:r>
          </w:p>
        </w:tc>
      </w:tr>
      <w:tr>
        <w:tc>
          <w:tcPr>
            <w:tcW w:type="dxa" w:w="3024"/>
          </w:tcPr>
          <w:p>
            <w:r>
              <w:rPr>
                <w:sz w:val="18"/>
              </w:rPr>
              <w:t>E3 independent agreement</w:t>
            </w:r>
          </w:p>
        </w:tc>
        <w:tc>
          <w:tcPr>
            <w:tcW w:type="dxa" w:w="2736"/>
          </w:tcPr>
          <w:p>
            <w:r>
              <w:rPr>
                <w:sz w:val="18"/>
              </w:rPr>
              <w:t>82.1% of 156</w:t>
            </w:r>
          </w:p>
        </w:tc>
        <w:tc>
          <w:tcPr>
            <w:tcW w:type="dxa" w:w="3600"/>
          </w:tcPr>
          <w:p>
            <w:r>
              <w:rPr>
                <w:sz w:val="18"/>
              </w:rPr>
              <w:t>results/results_e3_independent_coding.csv</w:t>
            </w:r>
          </w:p>
        </w:tc>
      </w:tr>
      <w:tr>
        <w:tc>
          <w:tcPr>
            <w:tcW w:type="dxa" w:w="3024"/>
          </w:tcPr>
          <w:p>
            <w:r>
              <w:rPr>
                <w:sz w:val="18"/>
              </w:rPr>
              <w:t>Alignment table</w:t>
            </w:r>
          </w:p>
        </w:tc>
        <w:tc>
          <w:tcPr>
            <w:tcW w:type="dxa" w:w="2736"/>
          </w:tcPr>
          <w:p>
            <w:r>
              <w:rPr>
                <w:sz w:val="18"/>
              </w:rPr>
              <w:t>four breakdowns, best and worst</w:t>
            </w:r>
          </w:p>
        </w:tc>
        <w:tc>
          <w:tcPr>
            <w:tcW w:type="dxa" w:w="3600"/>
          </w:tcPr>
          <w:p>
            <w:r>
              <w:rPr>
                <w:sz w:val="18"/>
              </w:rPr>
              <w:t>results/table2_alignment.csv</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