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color w:val="0b5394"/>
          <w:sz w:val="28"/>
          <w:szCs w:val="28"/>
        </w:rPr>
      </w:pPr>
      <w:r w:rsidDel="00000000" w:rsidR="00000000" w:rsidRPr="00000000">
        <w:rPr>
          <w:b w:val="1"/>
          <w:color w:val="0b5394"/>
          <w:sz w:val="28"/>
          <w:szCs w:val="28"/>
          <w:rtl w:val="0"/>
        </w:rPr>
        <w:t xml:space="preserve">Insights from Summer School in Vienna</w:t>
      </w:r>
    </w:p>
    <w:p w:rsidR="00000000" w:rsidDel="00000000" w:rsidP="00000000" w:rsidRDefault="00000000" w:rsidRPr="00000000" w14:paraId="00000003">
      <w:pPr>
        <w:jc w:val="center"/>
        <w:rPr>
          <w:color w:val="0b5394"/>
          <w:sz w:val="24"/>
          <w:szCs w:val="24"/>
        </w:rPr>
      </w:pPr>
      <w:r w:rsidDel="00000000" w:rsidR="00000000" w:rsidRPr="00000000">
        <w:rPr>
          <w:color w:val="0b5394"/>
          <w:sz w:val="24"/>
          <w:szCs w:val="24"/>
          <w:rtl w:val="0"/>
        </w:rPr>
        <w:t xml:space="preserve">Evaluating Direct and Indirect Multi-Hazard Impacts: Case Studies from Different Sectors and Regions</w:t>
      </w:r>
    </w:p>
    <w:p w:rsidR="00000000" w:rsidDel="00000000" w:rsidP="00000000" w:rsidRDefault="00000000" w:rsidRPr="00000000" w14:paraId="00000004">
      <w:pPr>
        <w:jc w:val="center"/>
        <w:rPr>
          <w:color w:val="0b5394"/>
          <w:sz w:val="24"/>
          <w:szCs w:val="24"/>
        </w:rPr>
      </w:pPr>
      <w:r w:rsidDel="00000000" w:rsidR="00000000" w:rsidRPr="00000000">
        <w:rPr>
          <w:rtl w:val="0"/>
        </w:rPr>
      </w:r>
    </w:p>
    <w:p w:rsidR="00000000" w:rsidDel="00000000" w:rsidP="00000000" w:rsidRDefault="00000000" w:rsidRPr="00000000" w14:paraId="00000005">
      <w:pPr>
        <w:jc w:val="center"/>
        <w:rPr>
          <w:color w:val="0b5394"/>
        </w:rPr>
      </w:pPr>
      <w:r w:rsidDel="00000000" w:rsidR="00000000" w:rsidRPr="00000000">
        <w:rPr>
          <w:color w:val="0b5394"/>
          <w:rtl w:val="0"/>
        </w:rPr>
        <w:t xml:space="preserve">GIC Internal Workshop: August 2023</w:t>
      </w:r>
    </w:p>
    <w:p w:rsidR="00000000" w:rsidDel="00000000" w:rsidP="00000000" w:rsidRDefault="00000000" w:rsidRPr="00000000" w14:paraId="00000006">
      <w:pPr>
        <w:jc w:val="center"/>
        <w:rPr>
          <w:color w:val="0b5394"/>
        </w:rPr>
      </w:pPr>
      <w:r w:rsidDel="00000000" w:rsidR="00000000" w:rsidRPr="00000000">
        <w:rPr>
          <w:color w:val="0b5394"/>
          <w:rtl w:val="0"/>
        </w:rPr>
        <w:t xml:space="preserve">Rabina Twayana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Summary:</w:t>
      </w:r>
    </w:p>
    <w:p w:rsidR="00000000" w:rsidDel="00000000" w:rsidP="00000000" w:rsidRDefault="00000000" w:rsidRPr="00000000" w14:paraId="00000009">
      <w:pPr>
        <w:jc w:val="both"/>
        <w:rPr/>
      </w:pPr>
      <w:r w:rsidDel="00000000" w:rsidR="00000000" w:rsidRPr="00000000">
        <w:rPr>
          <w:rtl w:val="0"/>
        </w:rPr>
        <w:t xml:space="preserve">The Summer School entitled "Evaluating direct and indirect multi-hazard impacts: Case studies from different sectors and regions" held from July 10 to 14, 2023, at the Faculty of Earth Sciences, Geography, and Astronomy in the University of Vienna. The course was coordinated by Prof. Cees Van Westen (University of Twente) in collaboration with colleagues from the PARATUS project. This event focused on young researchers from the University of Vienna and the EU PARATUS project to foster collaboration and knowledge exchange. Participants were divided into five groups and each group analyzed complex impact chains of hazard interactions, vulnerability, exposure, and both direct and indirect impacts across one of four case study areas: the Alps (potential interruption of cross-border transportation between Austria and Italy (Brenner highway)), Turkey (impact chains of a large earthquake in Istanbul), Caribbean (Impact of tropical storms on small islands), Pakistan (impact of flash flood in Qambar district) and Romania (impact of large cascading events on emergency response in Bucharest). Through active involvement in case studies, participants gained practical insights into addressing the both direct and indirect impact chain of complex multi-hazard events. In a nutshell, the program encompassed group work, presentations by PARATUS partners, individual participants presentation, field visit, university tour and additional activities which offered opportunities to work in a team, learn from experts, knowledge sharing, explore the universities history and resources, and experience the diverse learning modalities.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Keywords: Impact chain, multi-hazard, direct impact, indirect impact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