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61FEE4">
      <w:pPr>
        <w:pStyle w:val="2"/>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Financial Literacy and Digital Financial Behavior among Higher-Education Students in Bangladesh</w:t>
      </w:r>
    </w:p>
    <w:p w14:paraId="5003BAFE">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Author name(s), affiliation(s), city, country, and email/ORCID to be completed</w:t>
      </w:r>
    </w:p>
    <w:p w14:paraId="275945A6">
      <w:pPr>
        <w:pStyle w:val="3"/>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Abstract</w:t>
      </w:r>
    </w:p>
    <w:p w14:paraId="0F5F74A0">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This study examines associations among objective financial literacy (FL), digital financial behavior (DFB), financial management behavior (FMB), impulsive spending behavior (ISB), social influence (SI), and future financial orientation (FFO) among higher-education students in Bangladesh. A cross-sectional online survey collected 540 responses, of which 537 were included in the primary partial least squares structural equation modeling (PLS-SEM) analysis using SmartPLS 4 and 5,000 bootstrap subsamples. Five of seven hypothesized direct relationships were supported in their predicted directions. DFB was negatively associated with FMB (β = −0.216, p &lt; .001) and positively associated with ISB (β = 0.292, p &lt; .001). FL had a small positive association with FMB (β = 0.111, p = .008), but its direct association with FFO was not statistically significant (β = 0.046, p = .162). FMB showed the strongest positive direct association with FFO (β = 0.568, p &lt; .001), whereas ISB was negatively associated with FFO (β = −0.167, p &lt; .001). SI was positively associated with ISB (β = 0.439, p &lt; .001). All four specified indirect associations were statistically significant. Financial literacy differed substantially across academic disciplines, while behavioral differences were comparatively small. Sensitivity estimates were stable, but the PLS-SEM model did not demonstrate predictive superiority over a linear-model benchmark for FMB and FFO. These findings represent statistical associations within a convenience sample, not causal effects or nationally representative estimates.</w:t>
      </w:r>
    </w:p>
    <w:p w14:paraId="3975F974">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Keywords— financial literacy, digital financial behavior, financial management, impulsive spending, social influence, future financial orientation, Bangladesh, PLS-SEM.</w:t>
      </w:r>
    </w:p>
    <w:p w14:paraId="173777A5">
      <w:pPr>
        <w:pStyle w:val="3"/>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I. INTRODUCTION</w:t>
      </w:r>
    </w:p>
    <w:p w14:paraId="68F32ACA">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Digital financial services, including mobile financial services, banking applications, cards, and digital payment platforms, have increased the convenience of everyday transactions. However, the use of digital financial services does not necessarily indicate effective money management. Higher-education students must balance routine expenditure, discretionary consumption, and future financial security while developing financial independence.</w:t>
      </w:r>
    </w:p>
    <w:p w14:paraId="1DC1E1CB">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A central issue is the relationship between financial knowledge and actual financial behavior. Objective financial literacy may support financial decision-making, but knowledge alone does not guarantee budgeting, expenditure monitoring, or saving. Similarly, digital-payment convenience may coexist with responsible financial practices and less controlled spending. Peer lifestyles, status-related expenditure, and promotional stimuli may also be associated with purchasing decisions. Examining these dimensions separately may therefore provide an incomplete understanding of students’ financial behavior.</w:t>
      </w:r>
    </w:p>
    <w:p w14:paraId="67E45A25">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Although previous research has examined financial literacy, digital financial services, and consumer spending, these areas represent different constructs and outcomes. Digital-service adoption does not necessarily measure how students manage their money or whether they prioritize future financial security. An integrated examination of these relationships can help clarify how reported financial knowledge, transaction-related behavior, financial management, and spending tendencies are associated within a specific student population.</w:t>
      </w:r>
    </w:p>
    <w:p w14:paraId="6B16DA59">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This study investigates six constructs among higher-education students in Bangladesh: objective financial literacy (FL), digital financial behavior (DFB), financial management behavior (FMB), impulsive spending behavior (ISB), social influence (SI), and future financial orientation (FFO). It examines seven hypothesized direct relationships and four specific indirect associations. The contribution is an integrated, context-specific assessment of these relationships rather than a claim of causal effects or the development of a new behavioral theory.</w:t>
      </w:r>
    </w:p>
    <w:p w14:paraId="6631CAB0">
      <w:pPr>
        <w:pStyle w:val="3"/>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II. CONCEPTUAL BACKGROUND AND HYPOTHESES</w:t>
      </w:r>
    </w:p>
    <w:p w14:paraId="34381BD4">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Financial literacy represents knowledge that can help individuals evaluate financial concepts such as interest, inflation, purchasing power, diversification, and borrowing costs [1], [2]. However, financial knowledge and its practical application are not equivalent. Students with greater knowledge may report stronger financial management practices, while their future-oriented preferences may also depend on other factors. Accordingly, the study proposes:</w:t>
      </w:r>
    </w:p>
    <w:p w14:paraId="62CAF11F">
      <w:pPr>
        <w:pStyle w:val="7"/>
        <w:keepNext w:val="0"/>
        <w:keepLines w:val="0"/>
        <w:widowControl/>
        <w:suppressLineNumbers w:val="0"/>
        <w:ind w:left="720"/>
        <w:rPr>
          <w:rFonts w:hint="default" w:ascii="Times New Roman" w:hAnsi="Times New Roman" w:cs="Times New Roman"/>
          <w:sz w:val="18"/>
          <w:szCs w:val="18"/>
        </w:rPr>
      </w:pPr>
      <w:r>
        <w:rPr>
          <w:rFonts w:hint="default" w:ascii="Times New Roman" w:hAnsi="Times New Roman" w:cs="Times New Roman"/>
          <w:sz w:val="18"/>
          <w:szCs w:val="18"/>
        </w:rPr>
        <w:t>H1: DFB is positively associated with FMB.</w:t>
      </w:r>
    </w:p>
    <w:p w14:paraId="2FB4529F">
      <w:pPr>
        <w:pStyle w:val="7"/>
        <w:keepNext w:val="0"/>
        <w:keepLines w:val="0"/>
        <w:widowControl/>
        <w:suppressLineNumbers w:val="0"/>
        <w:ind w:left="720"/>
        <w:rPr>
          <w:rFonts w:hint="default" w:ascii="Times New Roman" w:hAnsi="Times New Roman" w:cs="Times New Roman"/>
          <w:sz w:val="18"/>
          <w:szCs w:val="18"/>
        </w:rPr>
      </w:pPr>
      <w:r>
        <w:rPr>
          <w:rFonts w:hint="default" w:ascii="Times New Roman" w:hAnsi="Times New Roman" w:cs="Times New Roman"/>
          <w:sz w:val="18"/>
          <w:szCs w:val="18"/>
        </w:rPr>
        <w:t>H2: DFB is positively associated with ISB.</w:t>
      </w:r>
    </w:p>
    <w:p w14:paraId="7E38D042">
      <w:pPr>
        <w:pStyle w:val="7"/>
        <w:keepNext w:val="0"/>
        <w:keepLines w:val="0"/>
        <w:widowControl/>
        <w:suppressLineNumbers w:val="0"/>
        <w:ind w:left="720"/>
        <w:rPr>
          <w:rFonts w:hint="default" w:ascii="Times New Roman" w:hAnsi="Times New Roman" w:cs="Times New Roman"/>
          <w:sz w:val="18"/>
          <w:szCs w:val="18"/>
        </w:rPr>
      </w:pPr>
      <w:r>
        <w:rPr>
          <w:rFonts w:hint="default" w:ascii="Times New Roman" w:hAnsi="Times New Roman" w:cs="Times New Roman"/>
          <w:sz w:val="18"/>
          <w:szCs w:val="18"/>
        </w:rPr>
        <w:t>H3: FL is positively associated with FMB.</w:t>
      </w:r>
    </w:p>
    <w:p w14:paraId="3CF223C0">
      <w:pPr>
        <w:pStyle w:val="7"/>
        <w:keepNext w:val="0"/>
        <w:keepLines w:val="0"/>
        <w:widowControl/>
        <w:suppressLineNumbers w:val="0"/>
        <w:ind w:left="720"/>
        <w:rPr>
          <w:rFonts w:hint="default" w:ascii="Times New Roman" w:hAnsi="Times New Roman" w:cs="Times New Roman"/>
          <w:sz w:val="18"/>
          <w:szCs w:val="18"/>
        </w:rPr>
      </w:pPr>
      <w:r>
        <w:rPr>
          <w:rFonts w:hint="default" w:ascii="Times New Roman" w:hAnsi="Times New Roman" w:cs="Times New Roman"/>
          <w:sz w:val="18"/>
          <w:szCs w:val="18"/>
        </w:rPr>
        <w:t>H4: FL is positively associated with FFO.</w:t>
      </w:r>
    </w:p>
    <w:p w14:paraId="4DE23FED">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Mental accounting research suggests that the way consumers experience and categorize payments can influence purchasing decisions [3]. Digital transactions may facilitate everyday financial activity, but convenience does not necessarily ensure expenditure control. In this study, DFB captures selected aspects of digital transaction behavior and perceived spending associated with payment convenience. Its relationship with financial management and impulsive spending is therefore examined separately.</w:t>
      </w:r>
    </w:p>
    <w:p w14:paraId="27EEC58F">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FMB includes advance expense planning, expenditure monitoring, and saving efforts. These practices may be associated with a stronger preference for future financial security. In contrast, ISB reflects promotion-influenced purchases, regret after unnecessary purchases, and spending beyond planned amounts. The study proposes:</w:t>
      </w:r>
    </w:p>
    <w:p w14:paraId="34BC7E6F">
      <w:pPr>
        <w:pStyle w:val="7"/>
        <w:keepNext w:val="0"/>
        <w:keepLines w:val="0"/>
        <w:widowControl/>
        <w:suppressLineNumbers w:val="0"/>
        <w:ind w:left="720"/>
        <w:rPr>
          <w:rFonts w:hint="default" w:ascii="Times New Roman" w:hAnsi="Times New Roman" w:cs="Times New Roman"/>
          <w:sz w:val="18"/>
          <w:szCs w:val="18"/>
        </w:rPr>
      </w:pPr>
      <w:r>
        <w:rPr>
          <w:rFonts w:hint="default" w:ascii="Times New Roman" w:hAnsi="Times New Roman" w:cs="Times New Roman"/>
          <w:sz w:val="18"/>
          <w:szCs w:val="18"/>
        </w:rPr>
        <w:t>H5: FMB is positively associated with FFO.</w:t>
      </w:r>
    </w:p>
    <w:p w14:paraId="629A638E">
      <w:pPr>
        <w:pStyle w:val="7"/>
        <w:keepNext w:val="0"/>
        <w:keepLines w:val="0"/>
        <w:widowControl/>
        <w:suppressLineNumbers w:val="0"/>
        <w:ind w:left="720"/>
        <w:rPr>
          <w:rFonts w:hint="default" w:ascii="Times New Roman" w:hAnsi="Times New Roman" w:cs="Times New Roman"/>
          <w:sz w:val="18"/>
          <w:szCs w:val="18"/>
        </w:rPr>
      </w:pPr>
      <w:r>
        <w:rPr>
          <w:rFonts w:hint="default" w:ascii="Times New Roman" w:hAnsi="Times New Roman" w:cs="Times New Roman"/>
          <w:sz w:val="18"/>
          <w:szCs w:val="18"/>
        </w:rPr>
        <w:t>H6: ISB is negatively associated with FFO.</w:t>
      </w:r>
    </w:p>
    <w:p w14:paraId="595C7624">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The Theory of Planned Behavior and financial-socialization literature provide a theoretical basis for examining external influences on individual behavior [4], [5]. Here, SI includes peer-lifestyle influence, status-related expenditure, and digital promotional stimuli. It therefore represents a broader construct than peer pressure alone. The study proposes:</w:t>
      </w:r>
    </w:p>
    <w:p w14:paraId="14838291">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 H7: SI is positively associated with ISB.</w:t>
      </w:r>
    </w:p>
    <w:p w14:paraId="3D39177E">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Four specific indirect associations are also examined: FL → FMB → FFO, DFB → FMB → FFO, DFB → ISB → FFO, and SI → ISB → FFO. Human-capital perspectives motivate the financial-literacy relationships, mental accounting provides context for payment-related behavior, and social-influence perspectives motivate the SI relationship. These theories guide hypothesis development, but the questionnaire does not directly measure every psychological mechanism they describe. Given the cross-sectional design, the indirect pathways are interpreted as statistical associations rather than causal mediation.</w:t>
      </w:r>
    </w:p>
    <w:p w14:paraId="16F0F007">
      <w:pPr>
        <w:pStyle w:val="3"/>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III. METHOD</w:t>
      </w:r>
    </w:p>
    <w:p w14:paraId="30CB798A">
      <w:pPr>
        <w:pStyle w:val="4"/>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A. Research Design and Participants</w:t>
      </w:r>
    </w:p>
    <w:p w14:paraId="05908C91">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A quantitative, cross-sectional online survey was administered in Bengali through Google Forms from 1–14 October 2026. Non-probability convenience sampling was used to recruit students from universities, medical institutions, and affiliated colleges offering undergraduate or postgraduate education in Bangladesh.</w:t>
      </w:r>
    </w:p>
    <w:p w14:paraId="2B04572F">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The survey collected 540 responses. Three records with missing modeled indicators were excluded from the primary PLS-SEM analysis, leaving 537 observations. Discipline-based analyses used 535 observations with valid discipline classifications. A separate sensitivity analysis examined a 534-observation scenario. These sample sizes refer to different analytical subsets and should not be interpreted as population estimates.</w:t>
      </w:r>
    </w:p>
    <w:p w14:paraId="79BA009F">
      <w:pPr>
        <w:pStyle w:val="4"/>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B. Measurement</w:t>
      </w:r>
    </w:p>
    <w:p w14:paraId="37EA1861">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Objective financial literacy was measured using five knowledge items (Q8–Q12), covering purchasing power, compound interest, diversification, high-interest debt, and inflation. The resulting score ranged from 0 to 5.</w:t>
      </w:r>
    </w:p>
    <w:p w14:paraId="74734E5E">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DFB was measured using Q14–Q16, concerning the perceived importance of digital financial services in everyday transactions, the relative frequency of small transactions compared with cash, and spending associated with digital-payment convenience. The separate digital-service frequency item (Q13) was analyzed descriptively and excluded from the DFB construct.</w:t>
      </w:r>
    </w:p>
    <w:p w14:paraId="0B52E01A">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FMB was measured using Q17–Q19, ISB using Q20–Q22, and SI using Q23–Q25. FFO was measured using a single item (Q26), reflecting the stated preference for future financial security over immediate consumption.</w:t>
      </w:r>
    </w:p>
    <w:p w14:paraId="0CEC8CE1">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The DFB indicators represent related but potentially distinct aspects of transaction behavior and spending perceptions. Consequently, DFB should not be interpreted as a pure measure of digital-service adoption or objective digital competence. Similarly, SI combines interpersonal and digitally mediated influences. FL and FFO were single-indicator measures; assigned loadings of 1.000 do not independently establish perfect measurement reliability.</w:t>
      </w:r>
    </w:p>
    <w:p w14:paraId="41B9EBB3">
      <w:pPr>
        <w:pStyle w:val="4"/>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C. Statistical Analysis</w:t>
      </w:r>
    </w:p>
    <w:p w14:paraId="4E160067">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SmartPLS 4 was used to assess reflective measurement quality and estimate the structural model. Bootstrapping employed 5,000 subsamples and 95% bias-corrected confidence intervals. Statistical significance was evaluated at the 5% level.</w:t>
      </w:r>
    </w:p>
    <w:p w14:paraId="77BEF05E">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The assessment included indicator loadings, Cronbach’s alpha, rho_A, composite reliability, average variance extracted (AVE), heterotrait–monotrait ratios (HTMT), variance inflation factors (VIF), path coefficients, explained variance (R²), effect sizes (f²), and the four specified indirect associations.</w:t>
      </w:r>
    </w:p>
    <w:p w14:paraId="7BBD3D33">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Supplementary analyses included Kruskal–Wallis tests, Holm-adjusted pairwise Mann–Whitney tests, and within-discipline Spearman correlations. Sensitivity analysis compared the primary sample with the specified 534-observation scenario. Predictive assessment included Q²_predict and the cross-validated predictive ability test (CVPAT).</w:t>
      </w:r>
    </w:p>
    <w:p w14:paraId="4EAF8A02">
      <w:pPr>
        <w:pStyle w:val="4"/>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D. Ethical Considerations</w:t>
      </w:r>
    </w:p>
    <w:p w14:paraId="49E23292">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This was an independent research project. No institutional ethics approval or formal exemption was obtained, and the exported survey data did not contain a separate consent-checkbox field. Informal feedback was used to improve questionnaire wording, but no formal pilot study or structured expert validation was conducted. These limitations are disclosed explicitly; compliance with the target conference’s ethics and participant-consent requirements must be assessed separately.</w:t>
      </w:r>
    </w:p>
    <w:p w14:paraId="42232EB0">
      <w:pPr>
        <w:pStyle w:val="3"/>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IV. RESULTS</w:t>
      </w:r>
    </w:p>
    <w:p w14:paraId="42BF20CF">
      <w:pPr>
        <w:pStyle w:val="4"/>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A. Sample Characteristics and Measurement Quality</w:t>
      </w:r>
    </w:p>
    <w:p w14:paraId="0E8A03AF">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The sample included 219 respondents from public universities (40.8%), 131 from private universities (24.4%), 97 from National University-affiliated colleges (18.1%), and 90 from medical, engineering, or other higher-education institutions (16.8%).</w:t>
      </w:r>
    </w:p>
    <w:p w14:paraId="2D7B231A">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For the discipline analysis, Science/Engineering/Technology accounted for 156 respondents (29.2%), Business/Commerce/Economics/Finance for 146 (27.3%), Arts/Humanities/Social Sciences/Law for 120 (22.4%), and Medical/Health Sciences for 113 (21.1%). These figures describe the achieved sample and should not be interpreted as population proportions because recruitment was non-probability based.</w:t>
      </w:r>
    </w:p>
    <w:p w14:paraId="6F4F4D05">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Reported monthly income and expenditure most commonly fell within the BDT 5,000–10,000 category. More than half of respondents reported having money remaining or being able to save at month-end, while others reported spending nearly all available money or experiencing financial shortages or borrowing. These descriptive indicators provide context but were not included as controls in the structural paths reported here.</w:t>
      </w:r>
    </w:p>
    <w:p w14:paraId="3F59B4A5">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The four multi-item constructs showed the following measurement statistics:</w:t>
      </w:r>
    </w:p>
    <w:tbl>
      <w:tblPr>
        <w:tblW w:w="384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86"/>
        <w:gridCol w:w="1117"/>
        <w:gridCol w:w="1036"/>
        <w:gridCol w:w="702"/>
      </w:tblGrid>
      <w:tr w14:paraId="29B0A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960" w:type="dxa"/>
            <w:tcBorders>
              <w:top w:val="single" w:color="000000" w:sz="4" w:space="0"/>
              <w:left w:val="single" w:color="000000" w:sz="4" w:space="0"/>
              <w:bottom w:val="single" w:color="000000" w:sz="4" w:space="0"/>
              <w:right w:val="single" w:color="000000" w:sz="4" w:space="0"/>
            </w:tcBorders>
            <w:shd w:val="clear"/>
            <w:vAlign w:val="center"/>
          </w:tcPr>
          <w:p w14:paraId="21F79CB4">
            <w:pPr>
              <w:keepNext w:val="0"/>
              <w:keepLines w:val="0"/>
              <w:widowControl/>
              <w:suppressLineNumbers w:val="0"/>
              <w:jc w:val="center"/>
              <w:textAlignment w:val="center"/>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bdr w:val="none" w:color="auto" w:sz="0" w:space="0"/>
                <w:lang w:val="en-US" w:eastAsia="zh-CN" w:bidi="ar"/>
              </w:rPr>
              <w:t>Construct</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1613D774">
            <w:pPr>
              <w:keepNext w:val="0"/>
              <w:keepLines w:val="0"/>
              <w:widowControl/>
              <w:suppressLineNumbers w:val="0"/>
              <w:jc w:val="center"/>
              <w:textAlignment w:val="center"/>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bdr w:val="none" w:color="auto" w:sz="0" w:space="0"/>
                <w:lang w:val="en-US" w:eastAsia="zh-CN" w:bidi="ar"/>
              </w:rPr>
              <w:t>Cronbach’s α</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0D88EFAE">
            <w:pPr>
              <w:keepNext w:val="0"/>
              <w:keepLines w:val="0"/>
              <w:widowControl/>
              <w:suppressLineNumbers w:val="0"/>
              <w:jc w:val="center"/>
              <w:textAlignment w:val="center"/>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bdr w:val="none" w:color="auto" w:sz="0" w:space="0"/>
                <w:lang w:val="en-US" w:eastAsia="zh-CN" w:bidi="ar"/>
              </w:rPr>
              <w:t>Composite reliability (rho_C)</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068D9603">
            <w:pPr>
              <w:keepNext w:val="0"/>
              <w:keepLines w:val="0"/>
              <w:widowControl/>
              <w:suppressLineNumbers w:val="0"/>
              <w:jc w:val="center"/>
              <w:textAlignment w:val="center"/>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bdr w:val="none" w:color="auto" w:sz="0" w:space="0"/>
                <w:lang w:val="en-US" w:eastAsia="zh-CN" w:bidi="ar"/>
              </w:rPr>
              <w:t>AVE</w:t>
            </w:r>
          </w:p>
        </w:tc>
      </w:tr>
      <w:tr w14:paraId="3432E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tcBorders>
              <w:top w:val="single" w:color="000000" w:sz="4" w:space="0"/>
              <w:left w:val="single" w:color="000000" w:sz="4" w:space="0"/>
              <w:bottom w:val="single" w:color="000000" w:sz="4" w:space="0"/>
              <w:right w:val="single" w:color="000000" w:sz="4" w:space="0"/>
            </w:tcBorders>
            <w:shd w:val="clear"/>
            <w:vAlign w:val="center"/>
          </w:tcPr>
          <w:p w14:paraId="14FDD52F">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DFB</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36FC55A3">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0.782</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2BB501F3">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0.873</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78581577">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0.696</w:t>
            </w:r>
          </w:p>
        </w:tc>
      </w:tr>
      <w:tr w14:paraId="2EC42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960" w:type="dxa"/>
            <w:tcBorders>
              <w:top w:val="single" w:color="000000" w:sz="4" w:space="0"/>
              <w:left w:val="single" w:color="000000" w:sz="4" w:space="0"/>
              <w:bottom w:val="single" w:color="000000" w:sz="4" w:space="0"/>
              <w:right w:val="single" w:color="000000" w:sz="4" w:space="0"/>
            </w:tcBorders>
            <w:shd w:val="clear"/>
            <w:vAlign w:val="center"/>
          </w:tcPr>
          <w:p w14:paraId="39655F46">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FMB</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74B53A22">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0.782</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7E5BE4D8">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0.871</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3C7589AA">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0.693</w:t>
            </w:r>
          </w:p>
        </w:tc>
      </w:tr>
      <w:tr w14:paraId="5B914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960" w:type="dxa"/>
            <w:tcBorders>
              <w:top w:val="single" w:color="000000" w:sz="4" w:space="0"/>
              <w:left w:val="single" w:color="000000" w:sz="4" w:space="0"/>
              <w:bottom w:val="single" w:color="000000" w:sz="4" w:space="0"/>
              <w:right w:val="single" w:color="000000" w:sz="4" w:space="0"/>
            </w:tcBorders>
            <w:shd w:val="clear"/>
            <w:vAlign w:val="center"/>
          </w:tcPr>
          <w:p w14:paraId="7300EF4C">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ISB</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0AB20094">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0.767</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70054872">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0.864</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1D02069A">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0.679</w:t>
            </w:r>
          </w:p>
        </w:tc>
      </w:tr>
      <w:tr w14:paraId="2206F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tcBorders>
              <w:top w:val="single" w:color="000000" w:sz="4" w:space="0"/>
              <w:left w:val="single" w:color="000000" w:sz="4" w:space="0"/>
              <w:bottom w:val="single" w:color="000000" w:sz="4" w:space="0"/>
              <w:right w:val="single" w:color="000000" w:sz="4" w:space="0"/>
            </w:tcBorders>
            <w:shd w:val="clear"/>
            <w:vAlign w:val="center"/>
          </w:tcPr>
          <w:p w14:paraId="702FE40D">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SI</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5F785A0E">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0.781</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3361E7D5">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0.872</w:t>
            </w:r>
          </w:p>
        </w:tc>
        <w:tc>
          <w:tcPr>
            <w:tcW w:w="960" w:type="dxa"/>
            <w:tcBorders>
              <w:top w:val="single" w:color="000000" w:sz="4" w:space="0"/>
              <w:left w:val="single" w:color="000000" w:sz="4" w:space="0"/>
              <w:bottom w:val="single" w:color="000000" w:sz="4" w:space="0"/>
              <w:right w:val="single" w:color="000000" w:sz="4" w:space="0"/>
            </w:tcBorders>
            <w:shd w:val="clear"/>
            <w:vAlign w:val="center"/>
          </w:tcPr>
          <w:p w14:paraId="62A08F4C">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0.695</w:t>
            </w:r>
          </w:p>
        </w:tc>
      </w:tr>
    </w:tbl>
    <w:p w14:paraId="2275395A">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Indicator loadings ranged from 0.737 to 0.880. All reported HTMT ratios were below 0.85, with the highest values for FMB–FFO (0.683) and SI–ISB (0.653). Inner-model VIF values ranged from 1.015 to 1.132. These diagnostics support the reported reliability and validity of the multi-item constructs under the specified measurement model, although they do not resolve potential conceptual overlap between indicators or the limited breadth of single-item measures.</w:t>
      </w:r>
    </w:p>
    <w:p w14:paraId="28DA86BD">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The mean FL score was 3.009 out of 5 (SD = 1.459). A total of 129 respondents (24.0%) answered all five knowledge questions correctly, while 20 (3.7%) answered none correctly. FL and FFO were single-indicator measures; their assigned loadings of 1.000 should not be interpreted as independent evidence of perfect reliability.</w:t>
      </w:r>
    </w:p>
    <w:p w14:paraId="3D6287EE">
      <w:pPr>
        <w:pStyle w:val="4"/>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B. Direct Structural Relationships</w:t>
      </w:r>
    </w:p>
    <w:p w14:paraId="6352252B">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Table I presents the direct path estimates. Six of the seven direct paths were statistically significant, but only five hypotheses were supported in their predicted directions. H1 was significant in the opposite direction, while H4 was not statistically significant.</w:t>
      </w:r>
    </w:p>
    <w:p w14:paraId="4F3AF545">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TABLE I. DIRECT PATH ESTIMATES (n = 537)</w:t>
      </w:r>
    </w:p>
    <w:tbl>
      <w:tblPr>
        <w:tblW w:w="435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634"/>
        <w:gridCol w:w="785"/>
        <w:gridCol w:w="955"/>
        <w:gridCol w:w="977"/>
      </w:tblGrid>
      <w:tr w14:paraId="7CAFE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80" w:hRule="atLeast"/>
        </w:trPr>
        <w:tc>
          <w:tcPr>
            <w:tcW w:w="1634" w:type="dxa"/>
            <w:tcBorders>
              <w:top w:val="single" w:color="000000" w:sz="4" w:space="0"/>
              <w:left w:val="single" w:color="000000" w:sz="4" w:space="0"/>
              <w:bottom w:val="single" w:color="000000" w:sz="4" w:space="0"/>
              <w:right w:val="single" w:color="000000" w:sz="4" w:space="0"/>
            </w:tcBorders>
            <w:shd w:val="clear"/>
            <w:vAlign w:val="center"/>
          </w:tcPr>
          <w:p w14:paraId="698B4C60">
            <w:pPr>
              <w:keepNext w:val="0"/>
              <w:keepLines w:val="0"/>
              <w:widowControl/>
              <w:suppressLineNumbers w:val="0"/>
              <w:jc w:val="center"/>
              <w:textAlignment w:val="center"/>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bdr w:val="none" w:color="auto" w:sz="0" w:space="0"/>
                <w:lang w:val="en-US" w:eastAsia="zh-CN" w:bidi="ar"/>
              </w:rPr>
              <w:t>Hypothesis and path</w:t>
            </w:r>
          </w:p>
        </w:tc>
        <w:tc>
          <w:tcPr>
            <w:tcW w:w="785" w:type="dxa"/>
            <w:tcBorders>
              <w:top w:val="single" w:color="000000" w:sz="4" w:space="0"/>
              <w:left w:val="single" w:color="000000" w:sz="4" w:space="0"/>
              <w:bottom w:val="single" w:color="000000" w:sz="4" w:space="0"/>
              <w:right w:val="single" w:color="000000" w:sz="4" w:space="0"/>
            </w:tcBorders>
            <w:shd w:val="clear"/>
            <w:vAlign w:val="center"/>
          </w:tcPr>
          <w:p w14:paraId="69540D4F">
            <w:pPr>
              <w:keepNext w:val="0"/>
              <w:keepLines w:val="0"/>
              <w:widowControl/>
              <w:suppressLineNumbers w:val="0"/>
              <w:jc w:val="center"/>
              <w:textAlignment w:val="center"/>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bdr w:val="none" w:color="auto" w:sz="0" w:space="0"/>
                <w:lang w:val="en-US" w:eastAsia="zh-CN" w:bidi="ar"/>
              </w:rPr>
              <w:t>β</w:t>
            </w:r>
          </w:p>
        </w:tc>
        <w:tc>
          <w:tcPr>
            <w:tcW w:w="955" w:type="dxa"/>
            <w:tcBorders>
              <w:top w:val="single" w:color="000000" w:sz="4" w:space="0"/>
              <w:left w:val="single" w:color="000000" w:sz="4" w:space="0"/>
              <w:bottom w:val="single" w:color="000000" w:sz="4" w:space="0"/>
              <w:right w:val="single" w:color="000000" w:sz="4" w:space="0"/>
            </w:tcBorders>
            <w:shd w:val="clear"/>
            <w:vAlign w:val="center"/>
          </w:tcPr>
          <w:p w14:paraId="0CFE8D24">
            <w:pPr>
              <w:keepNext w:val="0"/>
              <w:keepLines w:val="0"/>
              <w:widowControl/>
              <w:suppressLineNumbers w:val="0"/>
              <w:jc w:val="center"/>
              <w:textAlignment w:val="center"/>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bdr w:val="none" w:color="auto" w:sz="0" w:space="0"/>
                <w:lang w:val="en-US" w:eastAsia="zh-CN" w:bidi="ar"/>
              </w:rPr>
              <w:t>p-value</w:t>
            </w:r>
          </w:p>
        </w:tc>
        <w:tc>
          <w:tcPr>
            <w:tcW w:w="977" w:type="dxa"/>
            <w:tcBorders>
              <w:top w:val="single" w:color="000000" w:sz="4" w:space="0"/>
              <w:left w:val="single" w:color="000000" w:sz="4" w:space="0"/>
              <w:bottom w:val="single" w:color="000000" w:sz="4" w:space="0"/>
              <w:right w:val="single" w:color="000000" w:sz="4" w:space="0"/>
            </w:tcBorders>
            <w:shd w:val="clear"/>
            <w:vAlign w:val="center"/>
          </w:tcPr>
          <w:p w14:paraId="5B094C32">
            <w:pPr>
              <w:keepNext w:val="0"/>
              <w:keepLines w:val="0"/>
              <w:widowControl/>
              <w:suppressLineNumbers w:val="0"/>
              <w:jc w:val="center"/>
              <w:textAlignment w:val="center"/>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bdr w:val="none" w:color="auto" w:sz="0" w:space="0"/>
                <w:lang w:val="en-US" w:eastAsia="zh-CN" w:bidi="ar"/>
              </w:rPr>
              <w:t>Decision</w:t>
            </w:r>
          </w:p>
        </w:tc>
      </w:tr>
      <w:tr w14:paraId="07DF2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7" w:hRule="atLeast"/>
        </w:trPr>
        <w:tc>
          <w:tcPr>
            <w:tcW w:w="1634" w:type="dxa"/>
            <w:tcBorders>
              <w:top w:val="single" w:color="000000" w:sz="4" w:space="0"/>
              <w:left w:val="single" w:color="000000" w:sz="4" w:space="0"/>
              <w:bottom w:val="single" w:color="000000" w:sz="4" w:space="0"/>
              <w:right w:val="single" w:color="000000" w:sz="4" w:space="0"/>
            </w:tcBorders>
            <w:shd w:val="clear"/>
            <w:vAlign w:val="center"/>
          </w:tcPr>
          <w:p w14:paraId="7A31F11C">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H1: DFB → FMB</w:t>
            </w:r>
          </w:p>
        </w:tc>
        <w:tc>
          <w:tcPr>
            <w:tcW w:w="785" w:type="dxa"/>
            <w:tcBorders>
              <w:top w:val="single" w:color="000000" w:sz="4" w:space="0"/>
              <w:left w:val="single" w:color="000000" w:sz="4" w:space="0"/>
              <w:bottom w:val="single" w:color="000000" w:sz="4" w:space="0"/>
              <w:right w:val="single" w:color="000000" w:sz="4" w:space="0"/>
            </w:tcBorders>
            <w:shd w:val="clear"/>
            <w:vAlign w:val="center"/>
          </w:tcPr>
          <w:p w14:paraId="470FC2F2">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−0.216</w:t>
            </w:r>
          </w:p>
        </w:tc>
        <w:tc>
          <w:tcPr>
            <w:tcW w:w="955" w:type="dxa"/>
            <w:tcBorders>
              <w:top w:val="single" w:color="000000" w:sz="4" w:space="0"/>
              <w:left w:val="single" w:color="000000" w:sz="4" w:space="0"/>
              <w:bottom w:val="single" w:color="000000" w:sz="4" w:space="0"/>
              <w:right w:val="single" w:color="000000" w:sz="4" w:space="0"/>
            </w:tcBorders>
            <w:shd w:val="clear"/>
            <w:vAlign w:val="center"/>
          </w:tcPr>
          <w:p w14:paraId="25680F8C">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&lt; .001</w:t>
            </w:r>
          </w:p>
        </w:tc>
        <w:tc>
          <w:tcPr>
            <w:tcW w:w="977" w:type="dxa"/>
            <w:tcBorders>
              <w:top w:val="single" w:color="000000" w:sz="4" w:space="0"/>
              <w:left w:val="single" w:color="000000" w:sz="4" w:space="0"/>
              <w:bottom w:val="single" w:color="000000" w:sz="4" w:space="0"/>
              <w:right w:val="single" w:color="000000" w:sz="4" w:space="0"/>
            </w:tcBorders>
            <w:shd w:val="clear"/>
            <w:vAlign w:val="center"/>
          </w:tcPr>
          <w:p w14:paraId="1A00CB15">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Not supported; opposite direction</w:t>
            </w:r>
          </w:p>
        </w:tc>
      </w:tr>
      <w:tr w14:paraId="73893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80" w:hRule="atLeast"/>
        </w:trPr>
        <w:tc>
          <w:tcPr>
            <w:tcW w:w="1634" w:type="dxa"/>
            <w:tcBorders>
              <w:top w:val="single" w:color="000000" w:sz="4" w:space="0"/>
              <w:left w:val="single" w:color="000000" w:sz="4" w:space="0"/>
              <w:bottom w:val="single" w:color="000000" w:sz="4" w:space="0"/>
              <w:right w:val="single" w:color="000000" w:sz="4" w:space="0"/>
            </w:tcBorders>
            <w:shd w:val="clear"/>
            <w:vAlign w:val="center"/>
          </w:tcPr>
          <w:p w14:paraId="1BC8BFF3">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H2: DFB → ISB</w:t>
            </w:r>
          </w:p>
        </w:tc>
        <w:tc>
          <w:tcPr>
            <w:tcW w:w="785" w:type="dxa"/>
            <w:tcBorders>
              <w:top w:val="single" w:color="000000" w:sz="4" w:space="0"/>
              <w:left w:val="single" w:color="000000" w:sz="4" w:space="0"/>
              <w:bottom w:val="single" w:color="000000" w:sz="4" w:space="0"/>
              <w:right w:val="single" w:color="000000" w:sz="4" w:space="0"/>
            </w:tcBorders>
            <w:shd w:val="clear"/>
            <w:vAlign w:val="center"/>
          </w:tcPr>
          <w:p w14:paraId="3233EF68">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0.292</w:t>
            </w:r>
          </w:p>
        </w:tc>
        <w:tc>
          <w:tcPr>
            <w:tcW w:w="955" w:type="dxa"/>
            <w:tcBorders>
              <w:top w:val="single" w:color="000000" w:sz="4" w:space="0"/>
              <w:left w:val="single" w:color="000000" w:sz="4" w:space="0"/>
              <w:bottom w:val="single" w:color="000000" w:sz="4" w:space="0"/>
              <w:right w:val="single" w:color="000000" w:sz="4" w:space="0"/>
            </w:tcBorders>
            <w:shd w:val="clear"/>
            <w:vAlign w:val="center"/>
          </w:tcPr>
          <w:p w14:paraId="11907A9B">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&lt; .001</w:t>
            </w:r>
          </w:p>
        </w:tc>
        <w:tc>
          <w:tcPr>
            <w:tcW w:w="977" w:type="dxa"/>
            <w:tcBorders>
              <w:top w:val="single" w:color="000000" w:sz="4" w:space="0"/>
              <w:left w:val="single" w:color="000000" w:sz="4" w:space="0"/>
              <w:bottom w:val="single" w:color="000000" w:sz="4" w:space="0"/>
              <w:right w:val="single" w:color="000000" w:sz="4" w:space="0"/>
            </w:tcBorders>
            <w:shd w:val="clear"/>
            <w:vAlign w:val="center"/>
          </w:tcPr>
          <w:p w14:paraId="3360052F">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Supported</w:t>
            </w:r>
          </w:p>
        </w:tc>
      </w:tr>
      <w:tr w14:paraId="4BA0E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80" w:hRule="atLeast"/>
        </w:trPr>
        <w:tc>
          <w:tcPr>
            <w:tcW w:w="1634" w:type="dxa"/>
            <w:tcBorders>
              <w:top w:val="single" w:color="000000" w:sz="4" w:space="0"/>
              <w:left w:val="single" w:color="000000" w:sz="4" w:space="0"/>
              <w:bottom w:val="single" w:color="000000" w:sz="4" w:space="0"/>
              <w:right w:val="single" w:color="000000" w:sz="4" w:space="0"/>
            </w:tcBorders>
            <w:shd w:val="clear"/>
            <w:vAlign w:val="center"/>
          </w:tcPr>
          <w:p w14:paraId="0D46DB6C">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H3: FL → FMB</w:t>
            </w:r>
          </w:p>
        </w:tc>
        <w:tc>
          <w:tcPr>
            <w:tcW w:w="785" w:type="dxa"/>
            <w:tcBorders>
              <w:top w:val="single" w:color="000000" w:sz="4" w:space="0"/>
              <w:left w:val="single" w:color="000000" w:sz="4" w:space="0"/>
              <w:bottom w:val="single" w:color="000000" w:sz="4" w:space="0"/>
              <w:right w:val="single" w:color="000000" w:sz="4" w:space="0"/>
            </w:tcBorders>
            <w:shd w:val="clear"/>
            <w:vAlign w:val="center"/>
          </w:tcPr>
          <w:p w14:paraId="39F9FCE5">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0.111</w:t>
            </w:r>
          </w:p>
        </w:tc>
        <w:tc>
          <w:tcPr>
            <w:tcW w:w="955" w:type="dxa"/>
            <w:tcBorders>
              <w:top w:val="single" w:color="000000" w:sz="4" w:space="0"/>
              <w:left w:val="single" w:color="000000" w:sz="4" w:space="0"/>
              <w:bottom w:val="single" w:color="000000" w:sz="4" w:space="0"/>
              <w:right w:val="single" w:color="000000" w:sz="4" w:space="0"/>
            </w:tcBorders>
            <w:shd w:val="clear"/>
            <w:vAlign w:val="center"/>
          </w:tcPr>
          <w:p w14:paraId="72663975">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0.008</w:t>
            </w:r>
          </w:p>
        </w:tc>
        <w:tc>
          <w:tcPr>
            <w:tcW w:w="977" w:type="dxa"/>
            <w:tcBorders>
              <w:top w:val="single" w:color="000000" w:sz="4" w:space="0"/>
              <w:left w:val="single" w:color="000000" w:sz="4" w:space="0"/>
              <w:bottom w:val="single" w:color="000000" w:sz="4" w:space="0"/>
              <w:right w:val="single" w:color="000000" w:sz="4" w:space="0"/>
            </w:tcBorders>
            <w:shd w:val="clear"/>
            <w:vAlign w:val="center"/>
          </w:tcPr>
          <w:p w14:paraId="0B5897DF">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Supported</w:t>
            </w:r>
          </w:p>
        </w:tc>
      </w:tr>
      <w:tr w14:paraId="70C57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80" w:hRule="atLeast"/>
        </w:trPr>
        <w:tc>
          <w:tcPr>
            <w:tcW w:w="1634" w:type="dxa"/>
            <w:tcBorders>
              <w:top w:val="single" w:color="000000" w:sz="4" w:space="0"/>
              <w:left w:val="single" w:color="000000" w:sz="4" w:space="0"/>
              <w:bottom w:val="single" w:color="000000" w:sz="4" w:space="0"/>
              <w:right w:val="single" w:color="000000" w:sz="4" w:space="0"/>
            </w:tcBorders>
            <w:shd w:val="clear"/>
            <w:vAlign w:val="center"/>
          </w:tcPr>
          <w:p w14:paraId="1BBA478D">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H4: FL → FFO</w:t>
            </w:r>
          </w:p>
        </w:tc>
        <w:tc>
          <w:tcPr>
            <w:tcW w:w="785" w:type="dxa"/>
            <w:tcBorders>
              <w:top w:val="single" w:color="000000" w:sz="4" w:space="0"/>
              <w:left w:val="single" w:color="000000" w:sz="4" w:space="0"/>
              <w:bottom w:val="single" w:color="000000" w:sz="4" w:space="0"/>
              <w:right w:val="single" w:color="000000" w:sz="4" w:space="0"/>
            </w:tcBorders>
            <w:shd w:val="clear"/>
            <w:vAlign w:val="center"/>
          </w:tcPr>
          <w:p w14:paraId="5E2BCC89">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0.046</w:t>
            </w:r>
          </w:p>
        </w:tc>
        <w:tc>
          <w:tcPr>
            <w:tcW w:w="955" w:type="dxa"/>
            <w:tcBorders>
              <w:top w:val="single" w:color="000000" w:sz="4" w:space="0"/>
              <w:left w:val="single" w:color="000000" w:sz="4" w:space="0"/>
              <w:bottom w:val="single" w:color="000000" w:sz="4" w:space="0"/>
              <w:right w:val="single" w:color="000000" w:sz="4" w:space="0"/>
            </w:tcBorders>
            <w:shd w:val="clear"/>
            <w:vAlign w:val="center"/>
          </w:tcPr>
          <w:p w14:paraId="64A09EC3">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0.162</w:t>
            </w:r>
          </w:p>
        </w:tc>
        <w:tc>
          <w:tcPr>
            <w:tcW w:w="977" w:type="dxa"/>
            <w:tcBorders>
              <w:top w:val="single" w:color="000000" w:sz="4" w:space="0"/>
              <w:left w:val="single" w:color="000000" w:sz="4" w:space="0"/>
              <w:bottom w:val="single" w:color="000000" w:sz="4" w:space="0"/>
              <w:right w:val="single" w:color="000000" w:sz="4" w:space="0"/>
            </w:tcBorders>
            <w:shd w:val="clear"/>
            <w:vAlign w:val="center"/>
          </w:tcPr>
          <w:p w14:paraId="03B18517">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Not supported</w:t>
            </w:r>
          </w:p>
        </w:tc>
      </w:tr>
      <w:tr w14:paraId="1687B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80" w:hRule="atLeast"/>
        </w:trPr>
        <w:tc>
          <w:tcPr>
            <w:tcW w:w="1634" w:type="dxa"/>
            <w:tcBorders>
              <w:top w:val="single" w:color="000000" w:sz="4" w:space="0"/>
              <w:left w:val="single" w:color="000000" w:sz="4" w:space="0"/>
              <w:bottom w:val="single" w:color="000000" w:sz="4" w:space="0"/>
              <w:right w:val="single" w:color="000000" w:sz="4" w:space="0"/>
            </w:tcBorders>
            <w:shd w:val="clear"/>
            <w:vAlign w:val="center"/>
          </w:tcPr>
          <w:p w14:paraId="1EEFECDC">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H5: FMB → FFO</w:t>
            </w:r>
          </w:p>
        </w:tc>
        <w:tc>
          <w:tcPr>
            <w:tcW w:w="785" w:type="dxa"/>
            <w:tcBorders>
              <w:top w:val="single" w:color="000000" w:sz="4" w:space="0"/>
              <w:left w:val="single" w:color="000000" w:sz="4" w:space="0"/>
              <w:bottom w:val="single" w:color="000000" w:sz="4" w:space="0"/>
              <w:right w:val="single" w:color="000000" w:sz="4" w:space="0"/>
            </w:tcBorders>
            <w:shd w:val="clear"/>
            <w:vAlign w:val="center"/>
          </w:tcPr>
          <w:p w14:paraId="342DC20D">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0.568</w:t>
            </w:r>
          </w:p>
        </w:tc>
        <w:tc>
          <w:tcPr>
            <w:tcW w:w="955" w:type="dxa"/>
            <w:tcBorders>
              <w:top w:val="single" w:color="000000" w:sz="4" w:space="0"/>
              <w:left w:val="single" w:color="000000" w:sz="4" w:space="0"/>
              <w:bottom w:val="single" w:color="000000" w:sz="4" w:space="0"/>
              <w:right w:val="single" w:color="000000" w:sz="4" w:space="0"/>
            </w:tcBorders>
            <w:shd w:val="clear"/>
            <w:vAlign w:val="center"/>
          </w:tcPr>
          <w:p w14:paraId="2EE3CAD5">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&lt; .001</w:t>
            </w:r>
          </w:p>
        </w:tc>
        <w:tc>
          <w:tcPr>
            <w:tcW w:w="977" w:type="dxa"/>
            <w:tcBorders>
              <w:top w:val="single" w:color="000000" w:sz="4" w:space="0"/>
              <w:left w:val="single" w:color="000000" w:sz="4" w:space="0"/>
              <w:bottom w:val="single" w:color="000000" w:sz="4" w:space="0"/>
              <w:right w:val="single" w:color="000000" w:sz="4" w:space="0"/>
            </w:tcBorders>
            <w:shd w:val="clear"/>
            <w:vAlign w:val="center"/>
          </w:tcPr>
          <w:p w14:paraId="4938C442">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Supported</w:t>
            </w:r>
          </w:p>
        </w:tc>
      </w:tr>
      <w:tr w14:paraId="1B966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79" w:hRule="atLeast"/>
        </w:trPr>
        <w:tc>
          <w:tcPr>
            <w:tcW w:w="1634" w:type="dxa"/>
            <w:tcBorders>
              <w:top w:val="single" w:color="000000" w:sz="4" w:space="0"/>
              <w:left w:val="single" w:color="000000" w:sz="4" w:space="0"/>
              <w:bottom w:val="single" w:color="000000" w:sz="4" w:space="0"/>
              <w:right w:val="single" w:color="000000" w:sz="4" w:space="0"/>
            </w:tcBorders>
            <w:shd w:val="clear"/>
            <w:vAlign w:val="center"/>
          </w:tcPr>
          <w:p w14:paraId="505DF325">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H6: ISB → FFO</w:t>
            </w:r>
          </w:p>
        </w:tc>
        <w:tc>
          <w:tcPr>
            <w:tcW w:w="785" w:type="dxa"/>
            <w:tcBorders>
              <w:top w:val="single" w:color="000000" w:sz="4" w:space="0"/>
              <w:left w:val="single" w:color="000000" w:sz="4" w:space="0"/>
              <w:bottom w:val="single" w:color="000000" w:sz="4" w:space="0"/>
              <w:right w:val="single" w:color="000000" w:sz="4" w:space="0"/>
            </w:tcBorders>
            <w:shd w:val="clear"/>
            <w:vAlign w:val="center"/>
          </w:tcPr>
          <w:p w14:paraId="25063C87">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−0.167</w:t>
            </w:r>
          </w:p>
        </w:tc>
        <w:tc>
          <w:tcPr>
            <w:tcW w:w="955" w:type="dxa"/>
            <w:tcBorders>
              <w:top w:val="single" w:color="000000" w:sz="4" w:space="0"/>
              <w:left w:val="single" w:color="000000" w:sz="4" w:space="0"/>
              <w:bottom w:val="single" w:color="000000" w:sz="4" w:space="0"/>
              <w:right w:val="single" w:color="000000" w:sz="4" w:space="0"/>
            </w:tcBorders>
            <w:shd w:val="clear"/>
            <w:vAlign w:val="center"/>
          </w:tcPr>
          <w:p w14:paraId="0F354D79">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&lt; .001</w:t>
            </w:r>
          </w:p>
        </w:tc>
        <w:tc>
          <w:tcPr>
            <w:tcW w:w="977" w:type="dxa"/>
            <w:tcBorders>
              <w:top w:val="single" w:color="000000" w:sz="4" w:space="0"/>
              <w:left w:val="single" w:color="000000" w:sz="4" w:space="0"/>
              <w:bottom w:val="single" w:color="000000" w:sz="4" w:space="0"/>
              <w:right w:val="single" w:color="000000" w:sz="4" w:space="0"/>
            </w:tcBorders>
            <w:shd w:val="clear"/>
            <w:vAlign w:val="center"/>
          </w:tcPr>
          <w:p w14:paraId="6A7F926D">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Supported</w:t>
            </w:r>
          </w:p>
        </w:tc>
      </w:tr>
      <w:tr w14:paraId="1F505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78" w:hRule="atLeast"/>
        </w:trPr>
        <w:tc>
          <w:tcPr>
            <w:tcW w:w="1634" w:type="dxa"/>
            <w:tcBorders>
              <w:top w:val="single" w:color="000000" w:sz="4" w:space="0"/>
              <w:left w:val="single" w:color="000000" w:sz="4" w:space="0"/>
              <w:bottom w:val="single" w:color="000000" w:sz="4" w:space="0"/>
              <w:right w:val="single" w:color="000000" w:sz="4" w:space="0"/>
            </w:tcBorders>
            <w:shd w:val="clear"/>
            <w:vAlign w:val="center"/>
          </w:tcPr>
          <w:p w14:paraId="53274117">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H7: SI → ISB</w:t>
            </w:r>
          </w:p>
        </w:tc>
        <w:tc>
          <w:tcPr>
            <w:tcW w:w="785" w:type="dxa"/>
            <w:tcBorders>
              <w:top w:val="single" w:color="000000" w:sz="4" w:space="0"/>
              <w:left w:val="single" w:color="000000" w:sz="4" w:space="0"/>
              <w:bottom w:val="single" w:color="000000" w:sz="4" w:space="0"/>
              <w:right w:val="single" w:color="000000" w:sz="4" w:space="0"/>
            </w:tcBorders>
            <w:shd w:val="clear"/>
            <w:vAlign w:val="center"/>
          </w:tcPr>
          <w:p w14:paraId="12D2DEF7">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0.439</w:t>
            </w:r>
          </w:p>
        </w:tc>
        <w:tc>
          <w:tcPr>
            <w:tcW w:w="955" w:type="dxa"/>
            <w:tcBorders>
              <w:top w:val="single" w:color="000000" w:sz="4" w:space="0"/>
              <w:left w:val="single" w:color="000000" w:sz="4" w:space="0"/>
              <w:bottom w:val="single" w:color="000000" w:sz="4" w:space="0"/>
              <w:right w:val="single" w:color="000000" w:sz="4" w:space="0"/>
            </w:tcBorders>
            <w:shd w:val="clear"/>
            <w:vAlign w:val="center"/>
          </w:tcPr>
          <w:p w14:paraId="0EFFC9F3">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&lt; .001</w:t>
            </w:r>
          </w:p>
        </w:tc>
        <w:tc>
          <w:tcPr>
            <w:tcW w:w="977" w:type="dxa"/>
            <w:tcBorders>
              <w:top w:val="single" w:color="000000" w:sz="4" w:space="0"/>
              <w:left w:val="single" w:color="000000" w:sz="4" w:space="0"/>
              <w:bottom w:val="single" w:color="000000" w:sz="4" w:space="0"/>
              <w:right w:val="single" w:color="000000" w:sz="4" w:space="0"/>
            </w:tcBorders>
            <w:shd w:val="clear"/>
            <w:vAlign w:val="center"/>
          </w:tcPr>
          <w:p w14:paraId="592E6C77">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Supported</w:t>
            </w:r>
          </w:p>
        </w:tc>
      </w:tr>
    </w:tbl>
    <w:p w14:paraId="428D3841">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DFB was negatively associated with FMB (β = −0.216, p &lt; .001). The 95% bias-corrected confidence interval was [−0.297, −0.129]. This result contradicted the hypothesized positive relationship. Given the cross-sectional design and the composition of the DFB measure, it does not demonstrate that digital financial services cause poor financial management.</w:t>
      </w:r>
    </w:p>
    <w:p w14:paraId="4435F23D">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DFB was positively associated with ISB (β = 0.292, p &lt; .001; 95% CI [0.208, 0.364]). Respondents with higher DFB scores therefore tended to report greater impulsive spending. This association should be interpreted in relation to the measured transaction-related behaviors and spending perceptions rather than generalized to every form of digital finance.</w:t>
      </w:r>
    </w:p>
    <w:p w14:paraId="7D188AE7">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FL had a small positive association with FMB (β = 0.111, p = .008; 95% CI [0.031, 0.196]). However, its direct association with FFO was not statistically significant (β = 0.046, p = .162; 95% CI [−0.020, 0.109]). The confidence interval for H4 included zero, indicating that the direct association was not statistically distinguishable from zero at the 5% level.</w:t>
      </w:r>
    </w:p>
    <w:p w14:paraId="00F46F4F">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FMB showed the strongest positive direct association with FFO (β = 0.568, p &lt; .001; 95% CI [0.504, 0.621]). Respondents reporting stronger planning, expenditure monitoring, and saving practices also tended to express a stronger preference for future financial security. ISB was negatively associated with FFO (β = −0.167, p &lt; .001; 95% CI [−0.236, −0.101]). SI was positively associated with ISB (β = 0.439, p &lt; .001; 95% CI [0.360, 0.507]).</w:t>
      </w:r>
    </w:p>
    <w:p w14:paraId="14BAFE6D">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The model explained 5.3% of the variance in FMB (R² = 0.053), 36.5% in ISB (R² = 0.365), and 41.3% in FFO (R² = 0.413). Thus, although FMB had a strong association with FFO, the predictors explained only a small proportion of the variance in FMB, suggesting that other factors not included in the model may account for much of the variation in students’ reported financial management practices.</w:t>
      </w:r>
    </w:p>
    <w:p w14:paraId="306D24B3">
      <w:pPr>
        <w:pStyle w:val="4"/>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C. Indirect Associations and Effect Sizes</w:t>
      </w:r>
    </w:p>
    <w:p w14:paraId="75150BF7">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All four specified indirect associations were statistically significant.</w:t>
      </w:r>
    </w:p>
    <w:p w14:paraId="7354ABB7">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TABLE II. SPECIFIC INDIRECT ASS</w:t>
      </w:r>
      <w:bookmarkStart w:id="0" w:name="_GoBack"/>
      <w:bookmarkEnd w:id="0"/>
      <w:r>
        <w:rPr>
          <w:rFonts w:hint="default" w:ascii="Times New Roman" w:hAnsi="Times New Roman" w:cs="Times New Roman"/>
          <w:sz w:val="18"/>
          <w:szCs w:val="18"/>
        </w:rPr>
        <w:t>OCIATIONS</w:t>
      </w:r>
    </w:p>
    <w:tbl>
      <w:tblPr>
        <w:tblW w:w="435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712"/>
        <w:gridCol w:w="773"/>
        <w:gridCol w:w="905"/>
        <w:gridCol w:w="961"/>
      </w:tblGrid>
      <w:tr w14:paraId="75785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712" w:type="dxa"/>
            <w:tcBorders>
              <w:top w:val="single" w:color="000000" w:sz="4" w:space="0"/>
              <w:left w:val="single" w:color="000000" w:sz="4" w:space="0"/>
              <w:bottom w:val="single" w:color="000000" w:sz="4" w:space="0"/>
              <w:right w:val="single" w:color="000000" w:sz="4" w:space="0"/>
            </w:tcBorders>
            <w:shd w:val="clear"/>
            <w:vAlign w:val="center"/>
          </w:tcPr>
          <w:p w14:paraId="6AA71415">
            <w:pPr>
              <w:keepNext w:val="0"/>
              <w:keepLines w:val="0"/>
              <w:widowControl/>
              <w:suppressLineNumbers w:val="0"/>
              <w:jc w:val="center"/>
              <w:textAlignment w:val="center"/>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bdr w:val="none" w:color="auto" w:sz="0" w:space="0"/>
                <w:lang w:val="en-US" w:eastAsia="zh-CN" w:bidi="ar"/>
              </w:rPr>
              <w:t>Indirect pathway</w:t>
            </w:r>
          </w:p>
        </w:tc>
        <w:tc>
          <w:tcPr>
            <w:tcW w:w="773" w:type="dxa"/>
            <w:tcBorders>
              <w:top w:val="single" w:color="000000" w:sz="4" w:space="0"/>
              <w:left w:val="single" w:color="000000" w:sz="4" w:space="0"/>
              <w:bottom w:val="single" w:color="000000" w:sz="4" w:space="0"/>
              <w:right w:val="single" w:color="000000" w:sz="4" w:space="0"/>
            </w:tcBorders>
            <w:shd w:val="clear"/>
            <w:vAlign w:val="center"/>
          </w:tcPr>
          <w:p w14:paraId="73970611">
            <w:pPr>
              <w:keepNext w:val="0"/>
              <w:keepLines w:val="0"/>
              <w:widowControl/>
              <w:suppressLineNumbers w:val="0"/>
              <w:jc w:val="center"/>
              <w:textAlignment w:val="center"/>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bdr w:val="none" w:color="auto" w:sz="0" w:space="0"/>
                <w:lang w:val="en-US" w:eastAsia="zh-CN" w:bidi="ar"/>
              </w:rPr>
              <w:t>β</w:t>
            </w:r>
          </w:p>
        </w:tc>
        <w:tc>
          <w:tcPr>
            <w:tcW w:w="905" w:type="dxa"/>
            <w:tcBorders>
              <w:top w:val="single" w:color="000000" w:sz="4" w:space="0"/>
              <w:left w:val="single" w:color="000000" w:sz="4" w:space="0"/>
              <w:bottom w:val="single" w:color="000000" w:sz="4" w:space="0"/>
              <w:right w:val="single" w:color="000000" w:sz="4" w:space="0"/>
            </w:tcBorders>
            <w:shd w:val="clear"/>
            <w:vAlign w:val="center"/>
          </w:tcPr>
          <w:p w14:paraId="299DAC5F">
            <w:pPr>
              <w:keepNext w:val="0"/>
              <w:keepLines w:val="0"/>
              <w:widowControl/>
              <w:suppressLineNumbers w:val="0"/>
              <w:jc w:val="center"/>
              <w:textAlignment w:val="center"/>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bdr w:val="none" w:color="auto" w:sz="0" w:space="0"/>
                <w:lang w:val="en-US" w:eastAsia="zh-CN" w:bidi="ar"/>
              </w:rPr>
              <w:t>p-value</w:t>
            </w:r>
          </w:p>
        </w:tc>
        <w:tc>
          <w:tcPr>
            <w:tcW w:w="961" w:type="dxa"/>
            <w:tcBorders>
              <w:top w:val="single" w:color="000000" w:sz="4" w:space="0"/>
              <w:left w:val="single" w:color="000000" w:sz="4" w:space="0"/>
              <w:bottom w:val="single" w:color="000000" w:sz="4" w:space="0"/>
              <w:right w:val="single" w:color="000000" w:sz="4" w:space="0"/>
            </w:tcBorders>
            <w:shd w:val="clear"/>
            <w:vAlign w:val="center"/>
          </w:tcPr>
          <w:p w14:paraId="6D4C056B">
            <w:pPr>
              <w:keepNext w:val="0"/>
              <w:keepLines w:val="0"/>
              <w:widowControl/>
              <w:suppressLineNumbers w:val="0"/>
              <w:jc w:val="center"/>
              <w:textAlignment w:val="center"/>
              <w:rPr>
                <w:rFonts w:hint="default" w:ascii="Times New Roman" w:hAnsi="Times New Roman" w:cs="Times New Roman"/>
                <w:b/>
                <w:bCs/>
                <w:i w:val="0"/>
                <w:iCs w:val="0"/>
                <w:color w:val="000000"/>
                <w:sz w:val="18"/>
                <w:szCs w:val="18"/>
                <w:u w:val="none"/>
              </w:rPr>
            </w:pPr>
            <w:r>
              <w:rPr>
                <w:rFonts w:hint="default" w:ascii="Times New Roman" w:hAnsi="Times New Roman" w:eastAsia="SimSun" w:cs="Times New Roman"/>
                <w:b/>
                <w:bCs/>
                <w:i w:val="0"/>
                <w:iCs w:val="0"/>
                <w:color w:val="000000"/>
                <w:kern w:val="0"/>
                <w:sz w:val="18"/>
                <w:szCs w:val="18"/>
                <w:u w:val="none"/>
                <w:bdr w:val="none" w:color="auto" w:sz="0" w:space="0"/>
                <w:lang w:val="en-US" w:eastAsia="zh-CN" w:bidi="ar"/>
              </w:rPr>
              <w:t>Direction</w:t>
            </w:r>
          </w:p>
        </w:tc>
      </w:tr>
      <w:tr w14:paraId="119AE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80" w:hRule="atLeast"/>
        </w:trPr>
        <w:tc>
          <w:tcPr>
            <w:tcW w:w="1712" w:type="dxa"/>
            <w:tcBorders>
              <w:top w:val="single" w:color="000000" w:sz="4" w:space="0"/>
              <w:left w:val="single" w:color="000000" w:sz="4" w:space="0"/>
              <w:bottom w:val="single" w:color="000000" w:sz="4" w:space="0"/>
              <w:right w:val="single" w:color="000000" w:sz="4" w:space="0"/>
            </w:tcBorders>
            <w:shd w:val="clear"/>
            <w:vAlign w:val="center"/>
          </w:tcPr>
          <w:p w14:paraId="45346634">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FL → FMB → FFO</w:t>
            </w:r>
          </w:p>
        </w:tc>
        <w:tc>
          <w:tcPr>
            <w:tcW w:w="773" w:type="dxa"/>
            <w:tcBorders>
              <w:top w:val="single" w:color="000000" w:sz="4" w:space="0"/>
              <w:left w:val="single" w:color="000000" w:sz="4" w:space="0"/>
              <w:bottom w:val="single" w:color="000000" w:sz="4" w:space="0"/>
              <w:right w:val="single" w:color="000000" w:sz="4" w:space="0"/>
            </w:tcBorders>
            <w:shd w:val="clear"/>
            <w:vAlign w:val="center"/>
          </w:tcPr>
          <w:p w14:paraId="1FF00556">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0.063</w:t>
            </w:r>
          </w:p>
        </w:tc>
        <w:tc>
          <w:tcPr>
            <w:tcW w:w="905" w:type="dxa"/>
            <w:tcBorders>
              <w:top w:val="single" w:color="000000" w:sz="4" w:space="0"/>
              <w:left w:val="single" w:color="000000" w:sz="4" w:space="0"/>
              <w:bottom w:val="single" w:color="000000" w:sz="4" w:space="0"/>
              <w:right w:val="single" w:color="000000" w:sz="4" w:space="0"/>
            </w:tcBorders>
            <w:shd w:val="clear"/>
            <w:vAlign w:val="center"/>
          </w:tcPr>
          <w:p w14:paraId="58218B67">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0.009</w:t>
            </w:r>
          </w:p>
        </w:tc>
        <w:tc>
          <w:tcPr>
            <w:tcW w:w="961" w:type="dxa"/>
            <w:tcBorders>
              <w:top w:val="single" w:color="000000" w:sz="4" w:space="0"/>
              <w:left w:val="single" w:color="000000" w:sz="4" w:space="0"/>
              <w:bottom w:val="single" w:color="000000" w:sz="4" w:space="0"/>
              <w:right w:val="single" w:color="000000" w:sz="4" w:space="0"/>
            </w:tcBorders>
            <w:shd w:val="clear"/>
            <w:vAlign w:val="center"/>
          </w:tcPr>
          <w:p w14:paraId="21793AD4">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Positive</w:t>
            </w:r>
          </w:p>
        </w:tc>
      </w:tr>
      <w:tr w14:paraId="53C49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1712" w:type="dxa"/>
            <w:tcBorders>
              <w:top w:val="single" w:color="000000" w:sz="4" w:space="0"/>
              <w:left w:val="single" w:color="000000" w:sz="4" w:space="0"/>
              <w:bottom w:val="single" w:color="000000" w:sz="4" w:space="0"/>
              <w:right w:val="single" w:color="000000" w:sz="4" w:space="0"/>
            </w:tcBorders>
            <w:shd w:val="clear"/>
            <w:vAlign w:val="center"/>
          </w:tcPr>
          <w:p w14:paraId="1028641A">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DFB → FMB → FFO</w:t>
            </w:r>
          </w:p>
        </w:tc>
        <w:tc>
          <w:tcPr>
            <w:tcW w:w="773" w:type="dxa"/>
            <w:tcBorders>
              <w:top w:val="single" w:color="000000" w:sz="4" w:space="0"/>
              <w:left w:val="single" w:color="000000" w:sz="4" w:space="0"/>
              <w:bottom w:val="single" w:color="000000" w:sz="4" w:space="0"/>
              <w:right w:val="single" w:color="000000" w:sz="4" w:space="0"/>
            </w:tcBorders>
            <w:shd w:val="clear"/>
            <w:vAlign w:val="center"/>
          </w:tcPr>
          <w:p w14:paraId="6132D3CB">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−0.123</w:t>
            </w:r>
          </w:p>
        </w:tc>
        <w:tc>
          <w:tcPr>
            <w:tcW w:w="905" w:type="dxa"/>
            <w:tcBorders>
              <w:top w:val="single" w:color="000000" w:sz="4" w:space="0"/>
              <w:left w:val="single" w:color="000000" w:sz="4" w:space="0"/>
              <w:bottom w:val="single" w:color="000000" w:sz="4" w:space="0"/>
              <w:right w:val="single" w:color="000000" w:sz="4" w:space="0"/>
            </w:tcBorders>
            <w:shd w:val="clear"/>
            <w:vAlign w:val="center"/>
          </w:tcPr>
          <w:p w14:paraId="4EF0629D">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&lt; .001</w:t>
            </w:r>
          </w:p>
        </w:tc>
        <w:tc>
          <w:tcPr>
            <w:tcW w:w="961" w:type="dxa"/>
            <w:tcBorders>
              <w:top w:val="single" w:color="000000" w:sz="4" w:space="0"/>
              <w:left w:val="single" w:color="000000" w:sz="4" w:space="0"/>
              <w:bottom w:val="single" w:color="000000" w:sz="4" w:space="0"/>
              <w:right w:val="single" w:color="000000" w:sz="4" w:space="0"/>
            </w:tcBorders>
            <w:shd w:val="clear"/>
            <w:vAlign w:val="center"/>
          </w:tcPr>
          <w:p w14:paraId="6585B118">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Negative</w:t>
            </w:r>
          </w:p>
        </w:tc>
      </w:tr>
      <w:tr w14:paraId="28BD9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80" w:hRule="atLeast"/>
        </w:trPr>
        <w:tc>
          <w:tcPr>
            <w:tcW w:w="1712" w:type="dxa"/>
            <w:tcBorders>
              <w:top w:val="single" w:color="000000" w:sz="4" w:space="0"/>
              <w:left w:val="single" w:color="000000" w:sz="4" w:space="0"/>
              <w:bottom w:val="single" w:color="000000" w:sz="4" w:space="0"/>
              <w:right w:val="single" w:color="000000" w:sz="4" w:space="0"/>
            </w:tcBorders>
            <w:shd w:val="clear"/>
            <w:vAlign w:val="center"/>
          </w:tcPr>
          <w:p w14:paraId="74C10A8E">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DFB → ISB → FFO</w:t>
            </w:r>
          </w:p>
        </w:tc>
        <w:tc>
          <w:tcPr>
            <w:tcW w:w="773" w:type="dxa"/>
            <w:tcBorders>
              <w:top w:val="single" w:color="000000" w:sz="4" w:space="0"/>
              <w:left w:val="single" w:color="000000" w:sz="4" w:space="0"/>
              <w:bottom w:val="single" w:color="000000" w:sz="4" w:space="0"/>
              <w:right w:val="single" w:color="000000" w:sz="4" w:space="0"/>
            </w:tcBorders>
            <w:shd w:val="clear"/>
            <w:vAlign w:val="center"/>
          </w:tcPr>
          <w:p w14:paraId="03F7995C">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−0.049</w:t>
            </w:r>
          </w:p>
        </w:tc>
        <w:tc>
          <w:tcPr>
            <w:tcW w:w="905" w:type="dxa"/>
            <w:tcBorders>
              <w:top w:val="single" w:color="000000" w:sz="4" w:space="0"/>
              <w:left w:val="single" w:color="000000" w:sz="4" w:space="0"/>
              <w:bottom w:val="single" w:color="000000" w:sz="4" w:space="0"/>
              <w:right w:val="single" w:color="000000" w:sz="4" w:space="0"/>
            </w:tcBorders>
            <w:shd w:val="clear"/>
            <w:vAlign w:val="center"/>
          </w:tcPr>
          <w:p w14:paraId="61420318">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&lt; .001</w:t>
            </w:r>
          </w:p>
        </w:tc>
        <w:tc>
          <w:tcPr>
            <w:tcW w:w="961" w:type="dxa"/>
            <w:tcBorders>
              <w:top w:val="single" w:color="000000" w:sz="4" w:space="0"/>
              <w:left w:val="single" w:color="000000" w:sz="4" w:space="0"/>
              <w:bottom w:val="single" w:color="000000" w:sz="4" w:space="0"/>
              <w:right w:val="single" w:color="000000" w:sz="4" w:space="0"/>
            </w:tcBorders>
            <w:shd w:val="clear"/>
            <w:vAlign w:val="center"/>
          </w:tcPr>
          <w:p w14:paraId="32E76068">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Negative</w:t>
            </w:r>
          </w:p>
        </w:tc>
      </w:tr>
      <w:tr w14:paraId="11F64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712" w:type="dxa"/>
            <w:tcBorders>
              <w:top w:val="single" w:color="000000" w:sz="4" w:space="0"/>
              <w:left w:val="single" w:color="000000" w:sz="4" w:space="0"/>
              <w:bottom w:val="single" w:color="000000" w:sz="4" w:space="0"/>
              <w:right w:val="single" w:color="000000" w:sz="4" w:space="0"/>
            </w:tcBorders>
            <w:shd w:val="clear"/>
            <w:vAlign w:val="center"/>
          </w:tcPr>
          <w:p w14:paraId="500AACB1">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SI → ISB → FFO</w:t>
            </w:r>
          </w:p>
        </w:tc>
        <w:tc>
          <w:tcPr>
            <w:tcW w:w="773" w:type="dxa"/>
            <w:tcBorders>
              <w:top w:val="single" w:color="000000" w:sz="4" w:space="0"/>
              <w:left w:val="single" w:color="000000" w:sz="4" w:space="0"/>
              <w:bottom w:val="single" w:color="000000" w:sz="4" w:space="0"/>
              <w:right w:val="single" w:color="000000" w:sz="4" w:space="0"/>
            </w:tcBorders>
            <w:shd w:val="clear"/>
            <w:vAlign w:val="center"/>
          </w:tcPr>
          <w:p w14:paraId="7A27909E">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−0.073</w:t>
            </w:r>
          </w:p>
        </w:tc>
        <w:tc>
          <w:tcPr>
            <w:tcW w:w="905" w:type="dxa"/>
            <w:tcBorders>
              <w:top w:val="single" w:color="000000" w:sz="4" w:space="0"/>
              <w:left w:val="single" w:color="000000" w:sz="4" w:space="0"/>
              <w:bottom w:val="single" w:color="000000" w:sz="4" w:space="0"/>
              <w:right w:val="single" w:color="000000" w:sz="4" w:space="0"/>
            </w:tcBorders>
            <w:shd w:val="clear"/>
            <w:vAlign w:val="center"/>
          </w:tcPr>
          <w:p w14:paraId="25814A91">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&lt; .001</w:t>
            </w:r>
          </w:p>
        </w:tc>
        <w:tc>
          <w:tcPr>
            <w:tcW w:w="961" w:type="dxa"/>
            <w:tcBorders>
              <w:top w:val="single" w:color="000000" w:sz="4" w:space="0"/>
              <w:left w:val="single" w:color="000000" w:sz="4" w:space="0"/>
              <w:bottom w:val="single" w:color="000000" w:sz="4" w:space="0"/>
              <w:right w:val="single" w:color="000000" w:sz="4" w:space="0"/>
            </w:tcBorders>
            <w:shd w:val="clear"/>
            <w:vAlign w:val="center"/>
          </w:tcPr>
          <w:p w14:paraId="12F8B599">
            <w:pPr>
              <w:keepNext w:val="0"/>
              <w:keepLines w:val="0"/>
              <w:widowControl/>
              <w:suppressLineNumbers w:val="0"/>
              <w:jc w:val="left"/>
              <w:textAlignment w:val="center"/>
              <w:rPr>
                <w:rFonts w:hint="default" w:ascii="Times New Roman" w:hAnsi="Times New Roman" w:cs="Times New Roman"/>
                <w:i w:val="0"/>
                <w:iCs w:val="0"/>
                <w:color w:val="000000"/>
                <w:sz w:val="18"/>
                <w:szCs w:val="18"/>
                <w:u w:val="none"/>
              </w:rPr>
            </w:pPr>
            <w:r>
              <w:rPr>
                <w:rFonts w:hint="default" w:ascii="Times New Roman" w:hAnsi="Times New Roman" w:eastAsia="SimSun" w:cs="Times New Roman"/>
                <w:i w:val="0"/>
                <w:iCs w:val="0"/>
                <w:color w:val="000000"/>
                <w:kern w:val="0"/>
                <w:sz w:val="18"/>
                <w:szCs w:val="18"/>
                <w:u w:val="none"/>
                <w:bdr w:val="none" w:color="auto" w:sz="0" w:space="0"/>
                <w:lang w:val="en-US" w:eastAsia="zh-CN" w:bidi="ar"/>
              </w:rPr>
              <w:t>Negative</w:t>
            </w:r>
          </w:p>
        </w:tc>
      </w:tr>
    </w:tbl>
    <w:p w14:paraId="5B3C8841">
      <w:pPr>
        <w:pStyle w:val="7"/>
        <w:keepNext w:val="0"/>
        <w:keepLines w:val="0"/>
        <w:widowControl/>
        <w:suppressLineNumbers w:val="0"/>
        <w:rPr>
          <w:rFonts w:hint="default" w:ascii="Times New Roman" w:hAnsi="Times New Roman" w:cs="Times New Roman"/>
          <w:sz w:val="18"/>
          <w:szCs w:val="18"/>
        </w:rPr>
      </w:pPr>
    </w:p>
    <w:p w14:paraId="317E52A5">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The positive FL → FMB → FFO association (β = 0.063, p = .009) coexisted with a nonsignificant direct FL → FFO relationship. This pattern is consistent with a positive indirect statistical association through FMB but does not establish a causal mechanism.</w:t>
      </w:r>
    </w:p>
    <w:p w14:paraId="43D3C9BE">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The DFB pathways were negative through both FMB (β = −0.123, p &lt; .001) and ISB (β = −0.049, p &lt; .001). SI also showed a negative indirect association with FFO through ISB (β = −0.073, p &lt; .001). These estimates describe the specified structural model and do not establish temporal ordering or causal mediation.</w:t>
      </w:r>
    </w:p>
    <w:p w14:paraId="386836D5">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The largest reported f² was for FMB → FFO (0.492), followed by SI → ISB (0.268). DFB → ISB had an f² of 0.119, while DFB → FMB had an f² of 0.049 and ISB → FFO had an f² of 0.042. The FL → FMB effect was small (f² = 0.013), while FL → FFO was negligible (f² = 0.003). These results illustrate why statistical significance should not be equated with a substantial explanatory contribution.</w:t>
      </w:r>
    </w:p>
    <w:p w14:paraId="3E3B7250">
      <w:pPr>
        <w:pStyle w:val="4"/>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D. Academic-Discipline Differences and Robustness</w:t>
      </w:r>
    </w:p>
    <w:p w14:paraId="5E9B139B">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Objective financial literacy showed the largest difference across academic disciplines (Kruskal–Wallis H(3) = 160.573, Holm-adjusted p &lt; .001, ε² = 0.297). Differences in FMB, ISB, SI, saving attempts, and FFO were comparatively small, with reported effect sizes ranging from ε² = 0.010 to 0.029.</w:t>
      </w:r>
    </w:p>
    <w:p w14:paraId="40F8A6E6">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Fourteen of 36 pairwise comparisons were statistically significant after Holm adjustment: five for FL, one for FMB, three for ISB, two for SI, one for the saving-attempt item Q19, and two for FFO. None of the 16 within-discipline correlations between FL and FMB, ISB, SI, or FFO remained significant after Benjamini–Hochberg adjustment. These results indicate differences in group averages, particularly for financial literacy, but do not establish that structural relationships differ across disciplines. No PLS-SEM multigroup analysis was conducted.</w:t>
      </w:r>
    </w:p>
    <w:p w14:paraId="6F5CA5C8">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Model-fit diagnostics were mixed. Saturated-model SRMR values were 0.072 under the mixed specification and 0.049 under the composite-only specification. The corresponding estimated-model values were 0.102 and 0.088, both exceeding the commonly used 0.08 heuristic. SRMR is not a standalone pass-or-fail criterion, but these estimates indicate that model fit should be interpreted cautiously.</w:t>
      </w:r>
    </w:p>
    <w:p w14:paraId="3C4C4399">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In the sensitivity analysis using 534 observations, all seven paths retained their directions and statistical-significance decisions. The maximum absolute coefficient change was 0.007. This suggests that the reported paths were stable under the specified exclusion scenario, although it does not eliminate selection bias, measurement error, or other data-quality concerns.</w:t>
      </w:r>
    </w:p>
    <w:p w14:paraId="491DA610">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Positive Q²_predict values indicated predictive relevance relative to a naive benchmark. However, CVPAT indicated that the linear model significantly outperformed PLS-SEM for FMB (p = .003) and FFO (p = .030). Therefore, the findings do not establish predictive superiority of the PLS-SEM model over the linear-model benchmark.</w:t>
      </w:r>
    </w:p>
    <w:p w14:paraId="12EBB369">
      <w:pPr>
        <w:pStyle w:val="3"/>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V. DISCUSSION AND IMPLICATIONS</w:t>
      </w:r>
    </w:p>
    <w:p w14:paraId="50D98607">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Three findings are particularly important. First, financial literacy and financial behavior were related but not interchangeable. FL showed a small positive association with FMB, whereas its direct association with FFO was not statistically significant. The positive indirect association through FMB suggests that financial knowledge and future-oriented preferences may be related through reported management practices within the specified model. However, the cross-sectional results do not establish that increasing knowledge will necessarily change financial behavior or future preferences.</w:t>
      </w:r>
    </w:p>
    <w:p w14:paraId="22EBD52C">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Second, DFB showed contrasting associations: it was negatively associated with FMB and positively associated with ISB. This result should not be interpreted as evidence that digital payments inherently harm financial management. The DFB construct includes the perceived importance of digital transactions, the relative frequency of small transactions compared with cash, and spending associated with payment convenience. These indicators capture a specific combination of behaviors and perceptions rather than digital-service use alone. Further research should distinguish transaction frequency, payment convenience, spending control, and objective digital competence more clearly.</w:t>
      </w:r>
    </w:p>
    <w:p w14:paraId="561C8C0A">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Third, FMB was the strongest positive correlate of FFO, while ISB was negatively associated with FFO. Students reporting more budgeting, monitoring, and saving practices also tended to express a stronger preference for future financial security. Conversely, respondents reporting greater impulsive spending tended to report a weaker future-security preference. SI was positively associated with ISB, suggesting that susceptibility to peer-lifestyle, status-related, and promotional influences coincided with more impulsive spending.</w:t>
      </w:r>
    </w:p>
    <w:p w14:paraId="7BC97CD1">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The indirect associations are consistent with the corresponding direct paths. The negative DFB → FMB → FFO association aligns with the negative DFB–FMB relationship and the positive FMB–FFO relationship. Similarly, the negative DFB → ISB → FFO and SI → ISB → FFO associations align with positive associations with ISB and the negative association between ISB and FFO. These statistical patterns help describe the model but do not prove that the proposed mediators transmit causal effects.</w:t>
      </w:r>
    </w:p>
    <w:p w14:paraId="16444CE3">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The findings suggest several directions for future evaluation. Universities could test practical budgeting exercises, transaction-history reviews, and saving-planning activities to determine whether these interventions improve financial management practices. Digital-service providers could evaluate whether optional spending summaries or category-based alerts support users’ expenditure awareness. These are potential applications rather than demonstrated intervention effects, because the present study did not test any educational or platform-based intervention.</w:t>
      </w:r>
    </w:p>
    <w:p w14:paraId="13D56368">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Discipline-level differences in financial literacy may also inform future needs assessments. However, the observed differences do not establish that academic discipline causes differences in literacy, nor do they demonstrate that the structural relationships vary between disciplines. The nonsignificant adjusted within-discipline correlations further caution against assuming that higher financial-literacy scores consistently correspond to better behavioral outcomes within every academic group.</w:t>
      </w:r>
    </w:p>
    <w:p w14:paraId="10342ECD">
      <w:pPr>
        <w:pStyle w:val="4"/>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Limitations</w:t>
      </w:r>
    </w:p>
    <w:p w14:paraId="7EA0EFE3">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Several limitations qualify these findings. First, non-probability convenience sampling may introduce self-selection and coverage bias and limits generalizability to the wider population of higher-education students in Bangladesh. Second, the cross-sectional design does not establish temporal ordering or causal relationships. Third, the behavioral measures were self-reported in a single survey, so recall errors, social-desirability effects, and common response tendencies cannot be ruled out.</w:t>
      </w:r>
    </w:p>
    <w:p w14:paraId="25533D4C">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Fourth, DFB combines transaction-related importance, relative small-transaction frequency, and perceived spending associated with digital-payment convenience. ISB and SI also include promotional-purchasing content, creating potential conceptual overlap that may contribute to their observed associations. Fifth, FFO was measured using a single item representing a specific stated preference for future financial security rather than a comprehensive time-perspective scale, actual saving behavior, or realized financial outcomes. The questionnaire received informal wording feedback but did not undergo formal pilot testing or structured expert validation.</w:t>
      </w:r>
    </w:p>
    <w:p w14:paraId="20BA96C1">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Finally, the study did not receive institutional ethics approval or a formal exemption, and the exported survey data did not contain a separate consent-checkbox field. These facts must be disclosed transparently and checked against the applicable conference and institutional requirements before submission. The low explained variance in FMB, estimated-model SRMR values above the commonly used heuristic, and absence of predictive superiority over the linear-model benchmark further limit the strength of the conclusions.</w:t>
      </w:r>
    </w:p>
    <w:p w14:paraId="48EBF80D">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Future research should use broader sampling strategies, clearer and more differentiated measures of digital financial behavior, multi-item measures of future financial orientation, and longitudinal or intervention-based designs. Such studies could examine whether the observed associations persist across student populations and whether specific financial education or digital-spending interventions produce measurable changes.</w:t>
      </w:r>
    </w:p>
    <w:p w14:paraId="2991DF0C">
      <w:pPr>
        <w:pStyle w:val="3"/>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VI. CONCLUSION</w:t>
      </w:r>
    </w:p>
    <w:p w14:paraId="2390F5A3">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This study examined the relationships among financial literacy, digital financial behavior, financial management behavior, impulsive spending behavior, social influence, and future financial orientation among 537 surveyed higher-education students in Bangladesh. Five of seven hypotheses were supported in their predicted directions. Financial literacy was positively associated with financial management behavior but had no statistically significant direct association with future financial orientation. Financial management behavior showed the strongest positive direct association with future financial orientation, while impulsive spending behavior was negatively associated with it. Digital financial behavior was negatively associated with financial management behavior and positively associated with impulsive spending behavior, and social influence was positively associated with impulsive spending behavior.</w:t>
      </w:r>
    </w:p>
    <w:p w14:paraId="2596993E">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All four specified indirect associations were statistically significant, and the direct-path estimates remained stable in the sensitivity analysis. However, the estimated-model SRMR values indicated mixed fit evidence, and the PLS-SEM model did not demonstrate predictive superiority over the linear-model benchmark for financial management behavior and future financial orientation. The findings should therefore be interpreted as associations within a non-probability sample rather than causal effects or nationally representative patterns. Further research using stronger sampling designs, improved measurement, and longitudinal or intervention-based methods is needed to assess the robustness and practical implications of these relationships.</w:t>
      </w:r>
    </w:p>
    <w:p w14:paraId="14F5966A">
      <w:pPr>
        <w:pStyle w:val="3"/>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REFERENCES</w:t>
      </w:r>
    </w:p>
    <w:p w14:paraId="44720076">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[1] A. Lusardi and O. S. Mitchell, “The economic importance of financial literacy: Theory and evidence,” Journal of Economic Literature, vol. 52, no. 1, pp. 5–44, 2014, doi: 10.1257/jel.52.1.5.</w:t>
      </w:r>
    </w:p>
    <w:p w14:paraId="6F59468B">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[2] OECD, OECD/INFE 2023 International Survey of Adult Financial Literacy. OECD Publishing, 2023, doi: 10.1787/56003a32-en.</w:t>
      </w:r>
    </w:p>
    <w:p w14:paraId="3FA04821">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[3] R. Thaler, “Mental accounting and consumer choice,” Marketing Science, vol. 4, no. 3, pp. 199–214, 1985, doi: 10.1287/mksc.4.3.199.</w:t>
      </w:r>
    </w:p>
    <w:p w14:paraId="208DEC73">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[4] I. Ajzen, “The theory of planned behavior,” Organizational Behavior and Human Decision Processes, vol. 50, no. 2, pp. 179–211, 1991, doi: 10.1016/0749-5978(91)90020-T.</w:t>
      </w:r>
    </w:p>
    <w:p w14:paraId="6E8375F2">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[5] S.-H. Sohn et al., “Adolescents’ financial literacy: The role of financial socialization agents, financial experiences, and money attitudes,” Journal of Adolescence, vol. 35, no. 4, pp. 969–980, 2012, doi: 10.1016/j.adolescence.2012.02.002.</w:t>
      </w:r>
    </w:p>
    <w:p w14:paraId="18845DD1">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[6] J. F. Hair et al., “When to use and how to report the results of PLS-SEM,” European Business Review, vol. 31, no. 1, pp. 2–24, 2019, doi: 10.1108/EBR-11-2018-0203.</w:t>
      </w:r>
    </w:p>
    <w:p w14:paraId="2E293372">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[7] J. Henseler, C. M. Ringle, and M. Sarstedt, “A new criterion for assessing discriminant validity in variance-based structural equation modeling,” Journal of the Academy of Marketing Science, vol. 43, pp. 115–135, 2015, doi: 10.1007/s11747-014-0403-8.</w:t>
      </w:r>
    </w:p>
    <w:p w14:paraId="1889A938">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[8] A. Redine, S. Deshpande, and J. Surachartkumtonkun, “Impulse buying: A systematic literature review and future research directions,” International Journal of Consumer Studies, vol. 47, no. 1, pp. 3–41, 2023, doi: 10.1111/ijcs.12862.</w:t>
      </w:r>
    </w:p>
    <w:p w14:paraId="2B0A8B7C">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[9] S. Karmaker et al., “Exploring influential factors of consumer purchase behavior on the adoption of digital payment apps in Bangladesh,” Computers in Human Behavior Reports, vol. 17, Art. no. 100587, 2025, doi: 10.1016/j.chbr.2025.100587.</w:t>
      </w:r>
    </w:p>
    <w:p w14:paraId="21442FC1">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[10] N. Faraz and A. Anjum, “Spendception: The psychological impact of digital payments on consumer purchase behavior and impulse buying,” Behavioral Sciences, vol. 15, no. 3, Art. no. 387, 2025, doi: 10.3390/bs15030387.</w:t>
      </w:r>
    </w:p>
    <w:p w14:paraId="7FA2E659">
      <w:pPr>
        <w:pStyle w:val="7"/>
        <w:keepNext w:val="0"/>
        <w:keepLines w:val="0"/>
        <w:widowControl/>
        <w:suppressLineNumbers w:val="0"/>
        <w:rPr>
          <w:rFonts w:hint="default" w:ascii="Times New Roman" w:hAnsi="Times New Roman" w:cs="Times New Roman"/>
          <w:sz w:val="18"/>
          <w:szCs w:val="18"/>
        </w:rPr>
      </w:pPr>
      <w:r>
        <w:rPr>
          <w:rFonts w:hint="default" w:ascii="Times New Roman" w:hAnsi="Times New Roman" w:cs="Times New Roman"/>
          <w:sz w:val="18"/>
          <w:szCs w:val="18"/>
        </w:rPr>
        <w:t>Before submission: Replace the author placeholders and verify the references, conference-specific IEEE template, and ethics requirements. This is a revised manuscript draft, but its actual page count will depend on the conference template, font sizes, spacing, tables, and figure placement.</w:t>
      </w:r>
    </w:p>
    <w:p w14:paraId="2CB8AD57">
      <w:pPr>
        <w:rPr>
          <w:rFonts w:hint="default" w:ascii="Times New Roman" w:hAnsi="Times New Roman" w:cs="Times New Roman"/>
          <w:sz w:val="18"/>
          <w:szCs w:val="18"/>
        </w:rPr>
      </w:pPr>
    </w:p>
    <w:sectPr>
      <w:pgSz w:w="11906" w:h="16838"/>
      <w:pgMar w:top="1008" w:right="792" w:bottom="720" w:left="1368" w:header="720" w:footer="720" w:gutter="0"/>
      <w:cols w:equalWidth="0" w:num="2">
        <w:col w:w="4372" w:space="425"/>
        <w:col w:w="4948"/>
      </w:cols>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12165B"/>
    <w:rsid w:val="1312165B"/>
    <w:rsid w:val="35FA2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2026-10-25T14:55:00Z</dcterms:created>
  <dc:creator>Mr Rabi</dc:creator>
  <cp:lastModifiedBy>Mr Rabi</cp:lastModifiedBy>
  <dcterms:modified xsi:type="dcterms:W3CDTF">2026-10-25T15:10:31Z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EC535077F9394DCEAA5CC5793F85B182_11</vt:lpwstr>
  </property>
  <property fmtid="{D5CDD505-2E9C-101B-9397-08002B2CF9AE}" pid="4" name="KSOTemplateDocerSaveRecord">
    <vt:lpwstr>eyJoZGlkIjoiNmVmYTcwYzljMTQ0OTcxYjVkODhiYTIwMjlkNjFkMjAiLCJ1c2VySWQiOiIzMTc4ODk2ODU2MjI5In0=</vt:lpwstr>
  </property>
</Properties>
</file>