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3.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A36E2">
      <w:pPr>
        <w:pStyle w:val="4"/>
        <w:bidi w:val="0"/>
        <w:spacing w:before="0" w:after="140" w:line="276" w:lineRule="auto"/>
        <w:jc w:val="center"/>
        <w:rPr>
          <w:rStyle w:val="20"/>
          <w:rFonts w:hint="default"/>
          <w:sz w:val="22"/>
          <w:szCs w:val="22"/>
        </w:rPr>
      </w:pPr>
      <w:r>
        <w:rPr>
          <w:rStyle w:val="20"/>
          <w:rFonts w:hint="default"/>
          <w:sz w:val="22"/>
          <w:szCs w:val="22"/>
        </w:rPr>
        <w:t>Financial Literacy and Digital Financial Behavior among Higher-Education Students in Bangladesh: Associations with Financial Management, Impulsive Spending, and Future Financial Orientation — A PLS-SEM Study</w:t>
      </w:r>
    </w:p>
    <w:p w14:paraId="6C1D4529">
      <w:pPr>
        <w:pStyle w:val="4"/>
        <w:bidi w:val="0"/>
        <w:spacing w:before="0" w:after="140" w:line="276" w:lineRule="auto"/>
        <w:jc w:val="left"/>
        <w:rPr>
          <w:rStyle w:val="20"/>
          <w:rFonts w:hint="default"/>
          <w:sz w:val="22"/>
          <w:szCs w:val="22"/>
        </w:rPr>
      </w:pPr>
    </w:p>
    <w:p w14:paraId="79D9BA48">
      <w:pPr>
        <w:pStyle w:val="4"/>
        <w:bidi w:val="0"/>
        <w:spacing w:before="0" w:after="140" w:line="276" w:lineRule="auto"/>
        <w:jc w:val="left"/>
        <w:rPr>
          <w:rFonts w:hint="default" w:ascii="Times New Roman" w:hAnsi="Times New Roman" w:cs="Times New Roman"/>
          <w:sz w:val="22"/>
          <w:szCs w:val="22"/>
        </w:rPr>
      </w:pPr>
      <w:r>
        <w:rPr>
          <w:rStyle w:val="20"/>
          <w:rFonts w:hint="default" w:ascii="Times New Roman" w:hAnsi="Times New Roman" w:cs="Times New Roman"/>
          <w:sz w:val="22"/>
          <w:szCs w:val="22"/>
        </w:rPr>
        <w:t>Abstract</w:t>
      </w:r>
    </w:p>
    <w:p w14:paraId="14F066B3">
      <w:pPr>
        <w:pStyle w:val="4"/>
        <w:bidi w:val="0"/>
        <w:spacing w:before="0" w:after="140" w:line="276" w:lineRule="auto"/>
        <w:jc w:val="left"/>
        <w:rPr>
          <w:rFonts w:hint="default" w:ascii="Times New Roman" w:hAnsi="Times New Roman" w:cs="Times New Roman"/>
          <w:sz w:val="22"/>
          <w:szCs w:val="22"/>
        </w:rPr>
      </w:pPr>
      <w:r>
        <w:rPr>
          <w:rStyle w:val="20"/>
          <w:rFonts w:hint="default" w:ascii="Times New Roman" w:hAnsi="Times New Roman" w:cs="Times New Roman"/>
          <w:sz w:val="22"/>
          <w:szCs w:val="22"/>
        </w:rPr>
        <w:t>Purpose:</w:t>
      </w:r>
      <w:r>
        <w:rPr>
          <w:rFonts w:hint="default" w:ascii="Times New Roman" w:hAnsi="Times New Roman" w:cs="Times New Roman"/>
          <w:sz w:val="22"/>
          <w:szCs w:val="22"/>
        </w:rPr>
        <w:t xml:space="preserve"> This study examines the relationships among objective financial literacy, digital financial behavior, financial management behavior, impulsive spending behavior, social influence, and future financial orientation among higher-education students in Bangladesh.</w:t>
      </w:r>
    </w:p>
    <w:p w14:paraId="0D31B804">
      <w:pPr>
        <w:pStyle w:val="4"/>
        <w:bidi w:val="0"/>
        <w:spacing w:before="0" w:after="140" w:line="276" w:lineRule="auto"/>
        <w:jc w:val="left"/>
        <w:rPr>
          <w:rFonts w:hint="default" w:ascii="Times New Roman" w:hAnsi="Times New Roman" w:cs="Times New Roman"/>
          <w:sz w:val="22"/>
          <w:szCs w:val="22"/>
        </w:rPr>
      </w:pPr>
      <w:r>
        <w:rPr>
          <w:rStyle w:val="20"/>
          <w:rFonts w:hint="default" w:ascii="Times New Roman" w:hAnsi="Times New Roman" w:cs="Times New Roman"/>
          <w:sz w:val="22"/>
          <w:szCs w:val="22"/>
        </w:rPr>
        <w:t>Design/methodology/approach:</w:t>
      </w:r>
      <w:r>
        <w:rPr>
          <w:rFonts w:hint="default" w:ascii="Times New Roman" w:hAnsi="Times New Roman" w:cs="Times New Roman"/>
          <w:sz w:val="22"/>
          <w:szCs w:val="22"/>
        </w:rPr>
        <w:t xml:space="preserve"> A cross-sectional online survey yielded 540 responses, of which 537 complete observations were retained for the primary analysis. SmartPLS 4 was used for partial least squares structural equation modeling, including bootstrap-based assessment of direct and specific indirect relationships. Python was used for supplementary academic-discipline analyses and sensitivity checks.</w:t>
      </w:r>
    </w:p>
    <w:p w14:paraId="5B5585A4">
      <w:pPr>
        <w:pStyle w:val="19"/>
        <w:keepNext w:val="0"/>
        <w:keepLines w:val="0"/>
        <w:widowControl/>
        <w:suppressLineNumbers w:val="0"/>
        <w:rPr>
          <w:rFonts w:hint="default" w:ascii="Times New Roman" w:hAnsi="Times New Roman" w:cs="Times New Roman"/>
          <w:sz w:val="22"/>
          <w:szCs w:val="22"/>
        </w:rPr>
      </w:pPr>
      <w:r>
        <w:rPr>
          <w:rStyle w:val="20"/>
          <w:rFonts w:hint="default" w:ascii="Times New Roman" w:hAnsi="Times New Roman" w:cs="Times New Roman"/>
          <w:sz w:val="22"/>
          <w:szCs w:val="22"/>
        </w:rPr>
        <w:t>Findings:</w:t>
      </w:r>
      <w:r>
        <w:rPr>
          <w:rFonts w:hint="default" w:ascii="Times New Roman" w:hAnsi="Times New Roman" w:cs="Times New Roman"/>
          <w:sz w:val="22"/>
          <w:szCs w:val="22"/>
        </w:rPr>
        <w:t xml:space="preserve"> Five of the seven hypothesized direct relationships were supported in their proposed directions. Although six relationships were statistically significant, H1 (DFB → FMB) showed a significant negative association contrary to the hypothesized positive direction, while H4 (FL → FFO) was statistically nonsignificant. Financial literacy was positively associated with financial management behavior but had no significant direct association with future financial orientation. Financial management behavior showed the strongest direct association with future financial orientation. All four specified indirect relationships were statistically significant. Academic-discipline comparisons revealed substantial differences in objective financial-literacy scores, whereas behavioral differences were comparatively small. Sensitivity analysis supported the stability of the estimated relationships. However, predictive benchmarking did not establish superior performance over the linear-model benchmark.</w:t>
      </w:r>
    </w:p>
    <w:p w14:paraId="7523E48A">
      <w:pPr>
        <w:pStyle w:val="4"/>
        <w:bidi w:val="0"/>
        <w:spacing w:before="0" w:after="140" w:line="276" w:lineRule="auto"/>
        <w:jc w:val="left"/>
        <w:rPr>
          <w:rFonts w:hint="default" w:ascii="Times New Roman" w:hAnsi="Times New Roman" w:cs="Times New Roman"/>
          <w:sz w:val="22"/>
          <w:szCs w:val="22"/>
        </w:rPr>
      </w:pPr>
      <w:r>
        <w:rPr>
          <w:rStyle w:val="20"/>
          <w:rFonts w:hint="default" w:ascii="Times New Roman" w:hAnsi="Times New Roman" w:cs="Times New Roman"/>
          <w:sz w:val="22"/>
          <w:szCs w:val="22"/>
        </w:rPr>
        <w:t>Originality/value:</w:t>
      </w:r>
      <w:r>
        <w:rPr>
          <w:rFonts w:hint="default" w:ascii="Times New Roman" w:hAnsi="Times New Roman" w:cs="Times New Roman"/>
          <w:sz w:val="22"/>
          <w:szCs w:val="22"/>
        </w:rPr>
        <w:t xml:space="preserve"> The study integrates objective financial knowledge, digital transaction-related behavior, financial-management practices, impulsive spending, social and promotional influences, and future-oriented financial preferences within one empirical framework. Its contribution is context-specific and integrative rather than a claim to establish a new behavioral theory.</w:t>
      </w:r>
    </w:p>
    <w:p w14:paraId="3BD115A9">
      <w:pPr>
        <w:pStyle w:val="4"/>
        <w:bidi w:val="0"/>
        <w:spacing w:before="0" w:after="140" w:line="276" w:lineRule="auto"/>
        <w:jc w:val="left"/>
        <w:rPr>
          <w:rFonts w:hint="default" w:ascii="Times New Roman" w:hAnsi="Times New Roman" w:cs="Times New Roman"/>
          <w:sz w:val="22"/>
          <w:szCs w:val="22"/>
        </w:rPr>
      </w:pPr>
      <w:r>
        <w:rPr>
          <w:rStyle w:val="20"/>
          <w:rFonts w:hint="default" w:ascii="Times New Roman" w:hAnsi="Times New Roman" w:cs="Times New Roman"/>
          <w:sz w:val="22"/>
          <w:szCs w:val="22"/>
        </w:rPr>
        <w:t>Limitations:</w:t>
      </w:r>
      <w:r>
        <w:rPr>
          <w:rFonts w:hint="default" w:ascii="Times New Roman" w:hAnsi="Times New Roman" w:cs="Times New Roman"/>
          <w:sz w:val="22"/>
          <w:szCs w:val="22"/>
        </w:rPr>
        <w:t xml:space="preserve"> The non-probability sample, cross-sectional design, researcher-developed questionnaire, and single-item measure of future financial orientation limit generalizability and causal interpretation.</w:t>
      </w:r>
    </w:p>
    <w:p w14:paraId="17470CAC">
      <w:pPr>
        <w:pStyle w:val="4"/>
        <w:bidi w:val="0"/>
        <w:jc w:val="left"/>
        <w:rPr>
          <w:rFonts w:hint="default" w:ascii="Times New Roman" w:hAnsi="Times New Roman" w:cs="Times New Roman"/>
          <w:sz w:val="22"/>
          <w:szCs w:val="22"/>
        </w:rPr>
      </w:pPr>
      <w:r>
        <w:rPr>
          <w:rStyle w:val="20"/>
          <w:rFonts w:hint="default" w:ascii="Times New Roman" w:hAnsi="Times New Roman" w:cs="Times New Roman"/>
          <w:sz w:val="22"/>
          <w:szCs w:val="22"/>
        </w:rPr>
        <w:t>Keywords:</w:t>
      </w:r>
      <w:r>
        <w:rPr>
          <w:rFonts w:hint="default" w:ascii="Times New Roman" w:hAnsi="Times New Roman" w:cs="Times New Roman"/>
          <w:sz w:val="22"/>
          <w:szCs w:val="22"/>
        </w:rPr>
        <w:t xml:space="preserve"> Financial literacy; digital financial behavior; financial management behavior; impulsive spending; social influence; future financial orientation; Bangladesh; PLS-SEM.</w:t>
      </w:r>
    </w:p>
    <w:p w14:paraId="3B74FD7D">
      <w:pPr>
        <w:pStyle w:val="2"/>
        <w:bidi w:val="0"/>
        <w:spacing w:before="0" w:after="140" w:line="276" w:lineRule="auto"/>
        <w:jc w:val="center"/>
        <w:rPr>
          <w:rFonts w:hint="default" w:ascii="Times New Roman" w:hAnsi="Times New Roman" w:cs="Times New Roman"/>
          <w:sz w:val="22"/>
          <w:szCs w:val="22"/>
        </w:rPr>
      </w:pPr>
      <w:r>
        <w:rPr>
          <w:rFonts w:hint="default" w:ascii="Times New Roman" w:hAnsi="Times New Roman" w:cs="Times New Roman"/>
          <w:sz w:val="22"/>
          <w:szCs w:val="22"/>
        </w:rPr>
        <w:br w:type="textWrapping"/>
      </w:r>
    </w:p>
    <w:p w14:paraId="69EFEF49">
      <w:pPr>
        <w:pStyle w:val="4"/>
        <w:rPr>
          <w:rFonts w:hint="default" w:ascii="Times New Roman" w:hAnsi="Times New Roman" w:cs="Times New Roman"/>
          <w:sz w:val="22"/>
          <w:szCs w:val="22"/>
        </w:rPr>
      </w:pPr>
    </w:p>
    <w:p w14:paraId="6C25F491">
      <w:pPr>
        <w:pStyle w:val="4"/>
        <w:rPr>
          <w:rFonts w:hint="default" w:ascii="Times New Roman" w:hAnsi="Times New Roman" w:cs="Times New Roman"/>
          <w:sz w:val="22"/>
          <w:szCs w:val="22"/>
        </w:rPr>
      </w:pPr>
    </w:p>
    <w:p w14:paraId="3B05A1CC">
      <w:pPr>
        <w:pStyle w:val="2"/>
        <w:bidi w:val="0"/>
        <w:spacing w:before="0" w:after="140" w:line="276" w:lineRule="auto"/>
        <w:jc w:val="both"/>
        <w:rPr>
          <w:rFonts w:hint="default" w:ascii="Times New Roman" w:hAnsi="Times New Roman" w:cs="Times New Roman"/>
          <w:sz w:val="22"/>
          <w:szCs w:val="22"/>
        </w:rPr>
      </w:pPr>
    </w:p>
    <w:p w14:paraId="0E8D3C4E">
      <w:pPr>
        <w:pStyle w:val="4"/>
        <w:rPr>
          <w:rFonts w:hint="default"/>
        </w:rPr>
      </w:pPr>
    </w:p>
    <w:p w14:paraId="533381EB">
      <w:pPr>
        <w:pStyle w:val="5"/>
        <w:bidi w:val="0"/>
        <w:rPr>
          <w:rFonts w:hint="default"/>
        </w:rPr>
      </w:pPr>
    </w:p>
    <w:p w14:paraId="746A8DD1">
      <w:pPr>
        <w:pStyle w:val="5"/>
        <w:bidi w:val="0"/>
        <w:rPr>
          <w:rFonts w:hint="default"/>
        </w:rPr>
      </w:pPr>
      <w:r>
        <w:rPr>
          <w:rFonts w:hint="default"/>
        </w:rPr>
        <w:t>1. INTRODUCTION</w:t>
      </w:r>
    </w:p>
    <w:p w14:paraId="0BDE39EB">
      <w:pPr>
        <w:pStyle w:val="5"/>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1.1 Background of the Study</w:t>
      </w:r>
    </w:p>
    <w:p w14:paraId="6669A492">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The expansion of digital financial services has transformed how individuals manage money, make payments, and conduct everyday transactions. Mobile financial services (MFS), mobile-banking applications, bank cards, and digital payment platforms have increased transactional convenience and accessibility. For higher-education students in Bangladesh, who are developing financial independence while adapting to digital financial environments, these developments may have important implications for everyday financial decision-making.</w:t>
      </w:r>
    </w:p>
    <w:p w14:paraId="3BA28806">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University students must balance routine expenses, discretionary consumption, and future financial security. Financial literacy can support informed decisions, but knowledge does not necessarily translate into consistent financial-management practices. Students may understand financial concepts while struggling to plan expenses, monitor expenditure, or save regularly. It is therefore important to distinguish objective financial knowledge from actual financial-management behavior.</w:t>
      </w:r>
    </w:p>
    <w:p w14:paraId="0A454A5E">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Digital financial behavior introduces a further complexity. Although digital services facilitate transactions, convenience alone does not establish whether users manage money more effectively or spend more impulsively. Financial management and impulsive spending may coexist, while social expectations and promotional cues may also influence consumption decisions. These relationships warrant investigation within the context of Bangladesh's increasingly digital financial environment.</w:t>
      </w:r>
      <w:r>
        <w:rPr>
          <w:rFonts w:hint="default" w:ascii="Times New Roman" w:hAnsi="Times New Roman" w:cs="Times New Roman"/>
          <w:sz w:val="22"/>
          <w:szCs w:val="22"/>
        </w:rPr>
        <w:br w:type="textWrapping"/>
      </w:r>
      <w:r>
        <w:rPr>
          <w:rFonts w:hint="default" w:ascii="Times New Roman" w:hAnsi="Times New Roman" w:cs="Times New Roman"/>
          <w:sz w:val="22"/>
          <w:szCs w:val="22"/>
        </w:rPr>
        <w:br w:type="textWrapping"/>
      </w:r>
      <w:r>
        <w:rPr>
          <w:rFonts w:hint="default" w:ascii="Times New Roman" w:hAnsi="Times New Roman" w:cs="Times New Roman"/>
          <w:sz w:val="22"/>
          <w:szCs w:val="22"/>
        </w:rPr>
        <w:t>The remainder of the paper is organized as follows. Section 2 reviews the relevant literature and develops the hypotheses and proposed indirect relationships. Section 3 describes the research methodology and measurement procedures. Section 4 presents the empirical results, including structural relationships, indirect effects, discipline-wise analyses, sensitivity checks, and predictive assessment. Section 5 discusses the findings, theoretical and practical implications, and study limitations. Section 6 concludes the paper.</w:t>
      </w:r>
    </w:p>
    <w:p w14:paraId="79772EDD">
      <w:pPr>
        <w:pStyle w:val="4"/>
        <w:bidi w:val="0"/>
        <w:spacing w:before="0" w:after="140" w:line="276" w:lineRule="auto"/>
        <w:jc w:val="left"/>
        <w:rPr>
          <w:rFonts w:hint="default" w:ascii="Times New Roman" w:hAnsi="Times New Roman" w:cs="Times New Roman"/>
          <w:sz w:val="22"/>
          <w:szCs w:val="22"/>
        </w:rPr>
      </w:pPr>
    </w:p>
    <w:p w14:paraId="37AAA37C">
      <w:pPr>
        <w:pStyle w:val="5"/>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1.2 Context of the Study</w:t>
      </w:r>
    </w:p>
    <w:p w14:paraId="097AF5C8">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This study examines students enrolled in universities, medical institutions, and affiliated colleges offering undergraduate and postgraduate education in Bangladesh. The questionnaire was administered online in Bengali, using accessible wording, and covered general money management, everyday expenditure, and digital financial services, including bKash, Nagad, banking applications, and cards.</w:t>
      </w:r>
    </w:p>
    <w:p w14:paraId="4A422D5D">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 xml:space="preserve">Data collection took place from 1 to 14 October 2026. The initial dataset contained 540 responses. Following screening, three responses with missing values in measurement indicators were excluded, leaving </w:t>
      </w:r>
      <w:r>
        <w:rPr>
          <w:rStyle w:val="20"/>
          <w:rFonts w:hint="default" w:ascii="Times New Roman" w:hAnsi="Times New Roman" w:cs="Times New Roman"/>
          <w:sz w:val="22"/>
          <w:szCs w:val="22"/>
        </w:rPr>
        <w:t>537 usable observations</w:t>
      </w:r>
      <w:r>
        <w:rPr>
          <w:rFonts w:hint="default" w:ascii="Times New Roman" w:hAnsi="Times New Roman" w:cs="Times New Roman"/>
          <w:sz w:val="22"/>
          <w:szCs w:val="22"/>
        </w:rPr>
        <w:t xml:space="preserve"> for the principal analysis.</w:t>
      </w:r>
    </w:p>
    <w:p w14:paraId="01B4B846">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The survey used online, non-probability recruitment. Accordingly, the findings describe relationships within the surveyed sample rather than providing nationally representative estimates for all higher-education students in Bangladesh.</w:t>
      </w:r>
    </w:p>
    <w:p w14:paraId="4E170DCD">
      <w:pPr>
        <w:pStyle w:val="5"/>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1.3 Problem Statement</w:t>
      </w:r>
    </w:p>
    <w:p w14:paraId="090E8CF6">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Digital financial services make transactions more convenient, but their availability does not necessarily lead to better financial management. Student financial behavior may reflect the combined associations of financial knowledge, digital transaction-related behavior, expenditure-management practices, impulsive spending tendencies, and social influences.</w:t>
      </w:r>
    </w:p>
    <w:p w14:paraId="5412F64D">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Three issues are particularly relevant. First, objective financial literacy may not translate directly into financial-management practices or future-oriented preferences. Second, digital financial behavior may be associated with both financial management and impulsive spending. Third, peer-related lifestyle expectations, status-related expenditure, and digital promotional cues may coincide with unplanned purchasing.</w:t>
      </w:r>
    </w:p>
    <w:p w14:paraId="55718884">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Examining these dimensions separately may provide an incomplete account of student financial behavior. This study therefore investigates their relationships within an integrated partial least squares structural equation modeling (PLS-SEM) framework.</w:t>
      </w:r>
      <w:r>
        <w:rPr>
          <w:rFonts w:hint="default" w:ascii="Times New Roman" w:hAnsi="Times New Roman" w:cs="Times New Roman"/>
          <w:sz w:val="22"/>
          <w:szCs w:val="22"/>
        </w:rPr>
        <w:br w:type="textWrapping"/>
      </w:r>
    </w:p>
    <w:p w14:paraId="604285E3">
      <w:pPr>
        <w:pStyle w:val="6"/>
        <w:bidi w:val="0"/>
        <w:rPr>
          <w:rFonts w:hint="default"/>
        </w:rPr>
      </w:pPr>
      <w:r>
        <w:rPr>
          <w:rFonts w:hint="default"/>
        </w:rPr>
        <w:t>1.4 Research Gap</w:t>
      </w:r>
    </w:p>
    <w:p w14:paraId="519861DB">
      <w:pPr>
        <w:pStyle w:val="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1.4.1 Integrating Financial Knowledge and Financial Behavior</w:t>
      </w:r>
    </w:p>
    <w:p w14:paraId="401BFFB8">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Financial literacy, digital financial services, financial-management practices, and consumer spending have been examined through distinct but related research perspectives. Nevertheless, objective financial knowledge, engagement with digital financial transactions, routine financial-management practices, and impulsive spending represent conceptually different dimensions of students’ financial lives. Possessing financial knowledge does not necessarily translate into disciplined financial practices, while the convenience of digital payments may coexist with both responsible financial management and less controlled spending tendencies. Examining these dimensions within an integrated empirical framework is therefore important for understanding how they are associated with future-oriented financial preferences. The present study investigates these relationships among higher-education students in Bangladesh without assuming that the expected relationships must necessarily emerge in the empirical results.</w:t>
      </w:r>
    </w:p>
    <w:p w14:paraId="422F520B">
      <w:pPr>
        <w:pStyle w:val="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1.4.2 The Knowledge–Behavior Relationship</w:t>
      </w:r>
    </w:p>
    <w:p w14:paraId="14FB4A1A">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 central issue in financial behavior research is whether objective financial knowledge is reflected in actual financial-management practices and future-oriented preferences. Although financial literacy provides knowledge relevant to financial decisions, the translation of that knowledge into expenditure planning, spending monitoring, and saving may depend on behavioral and contextual factors. This study therefore examines the direct association between financial literacy and financial management behavior, its association with future financial orientation, and the specified indirect relationship through financial management behavior. By distinguishing knowledge from reported practices, the analysis allows the empirical evidence to establish whether these theoretically relevant relationships are supported within the surveyed student sample.</w:t>
      </w:r>
    </w:p>
    <w:p w14:paraId="6B1A82DF">
      <w:pPr>
        <w:pStyle w:val="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1.4.3 Digital Financial Behavior Beyond Service Adoption</w:t>
      </w:r>
    </w:p>
    <w:p w14:paraId="57EB6BCA">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Digital financial services research frequently addresses adoption, usage intentions, accessibility, and perceived usefulness. A complementary analytical concern is whether digital transaction-related behavior is associated with financial-management practices and impulsive spending tendencies. Digital payment convenience may facilitate everyday transactions, but it does not necessarily indicate stronger financial control; likewise, frequent engagement with digital services does not by itself establish a tendency toward irresponsible spending. The present study examines the associations of digital financial behavior with both financial management behavior and impulsive spending behavior, thereby considering potentially contrasting behavioral pathways within the same model. Importantly, the DFB construct includes an indicator concerning increased spending associated with digital-payment convenience. Its interpretation must therefore account for this conceptual overlap rather than treating the construct as a pure measure of service usage.</w:t>
      </w:r>
    </w:p>
    <w:p w14:paraId="22F126F5">
      <w:pPr>
        <w:pStyle w:val="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1.4.4 Impulsive Spending and Future Financial Orientation</w:t>
      </w:r>
    </w:p>
    <w:p w14:paraId="3B81F03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Impulsive spending represents a behavioral dimension that may not be fully captured by objective financial knowledge or routine financial-management practices. Students may possess financial knowledge and engage in digital transactions while also reporting unplanned purchases, purchase-related regret, or expenditure beyond intended budgets. Whether such spending tendencies are associated with weaker future-oriented financial preferences is an empirical question rather than an assumption. Accordingly, this study examines the relationship between impulsive spending behavior and future financial orientation, alongside the specified indirect relationship between digital financial behavior and future financial orientation through impulsive spending. Because FFO is operationalized through a single item concerning preference for future financial security over immediate consumption desires, the construct represents a specific stated financial preference rather than a comprehensive measure of long-term financial planning, actual saving, or accumulated wealth.</w:t>
      </w:r>
    </w:p>
    <w:p w14:paraId="42BAD25F">
      <w:pPr>
        <w:pStyle w:val="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1.4.5 Social and Promotional Influences</w:t>
      </w:r>
    </w:p>
    <w:p w14:paraId="1BF789B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Financial decisions among students may be associated with interpersonal influences, lifestyle comparisons, status-related expenditure, and digitally mediated promotional stimuli. These influences may shape spending tendencies, but their relevance and strength should be established empirically rather than presumed. The present study examines the association between social influence and impulsive spending behavior while recognizing that the SI indicators encompass both interpersonal and promotional influences. This broader operationalization allows the study to consider multiple external influences on spending decisions, although the resulting construct should not be interpreted as a measure of peer pressure alone.</w:t>
      </w:r>
    </w:p>
    <w:p w14:paraId="06C464BB">
      <w:pPr>
        <w:pStyle w:val="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Synthesis of the Research Gap</w:t>
      </w:r>
    </w:p>
    <w:p w14:paraId="23DAF7A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Taken together, the study addresses a context-specific empirical question: how are objective financial literacy, digital financial behavior, financial management behavior, impulsive spending behavior, and social influence associated with future financial orientation when examined within a single structural framework? The model evaluates seven hypothesized direct relationships and four specified indirect relationships among higher-education students in Bangladesh. Its contribution lies in examining the proposed relationships jointly, distinguishing objective knowledge from reported financial practices, and considering potentially contrasting associations involving digital financial behavior. The analysis does not presume that every hypothesized relationship will be statistically supported. Relationships that differ from their theoretically expected directions, or that are statistically nonsignificant, remain relevant to evaluating the explanatory adequacy of the proposed framework. Given the cross-sectional design and the characteristics of the surveyed sample, the findings are interpreted as statistical associations rather than causal effects or nationally representative conclusions.</w:t>
      </w:r>
    </w:p>
    <w:p w14:paraId="3242D716">
      <w:pPr>
        <w:pStyle w:val="4"/>
        <w:bidi w:val="0"/>
        <w:spacing w:before="0" w:after="140" w:line="276" w:lineRule="auto"/>
        <w:jc w:val="left"/>
        <w:rPr>
          <w:rFonts w:hint="default" w:ascii="Times New Roman" w:hAnsi="Times New Roman" w:cs="Times New Roman"/>
          <w:sz w:val="22"/>
          <w:szCs w:val="22"/>
        </w:rPr>
      </w:pPr>
    </w:p>
    <w:p w14:paraId="55A9A288">
      <w:pPr>
        <w:pStyle w:val="6"/>
        <w:bidi w:val="0"/>
        <w:rPr>
          <w:rFonts w:hint="default"/>
        </w:rPr>
      </w:pPr>
      <w:r>
        <w:rPr>
          <w:rFonts w:hint="default"/>
        </w:rPr>
        <w:t>1.5 Research Objectives</w:t>
      </w:r>
    </w:p>
    <w:p w14:paraId="0EDFB6E4">
      <w:pPr>
        <w:pStyle w:val="6"/>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1.5.1 General Objective</w:t>
      </w:r>
    </w:p>
    <w:p w14:paraId="55D0AD54">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The study aims to examine the relationships among financial literacy, digital financial behavior, financial management behavior, impulsive spending behavior, social influence, and future financial orientation among higher-education students in Bangladesh.</w:t>
      </w:r>
    </w:p>
    <w:p w14:paraId="110F1E86">
      <w:pPr>
        <w:pStyle w:val="6"/>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1.5.2 Specific Objectives</w:t>
      </w:r>
    </w:p>
    <w:p w14:paraId="2D32D709">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The study seeks to:</w:t>
      </w:r>
    </w:p>
    <w:p w14:paraId="43AB16A8">
      <w:pPr>
        <w:pStyle w:val="4"/>
        <w:numPr>
          <w:ilvl w:val="0"/>
          <w:numId w:val="1"/>
        </w:numPr>
        <w:bidi w:val="0"/>
        <w:ind w:left="709" w:hanging="283"/>
        <w:jc w:val="left"/>
        <w:rPr>
          <w:rFonts w:hint="default" w:ascii="Times New Roman" w:hAnsi="Times New Roman" w:cs="Times New Roman"/>
          <w:sz w:val="22"/>
          <w:szCs w:val="22"/>
        </w:rPr>
      </w:pPr>
      <w:r>
        <w:rPr>
          <w:rFonts w:hint="default" w:ascii="Times New Roman" w:hAnsi="Times New Roman" w:cs="Times New Roman"/>
          <w:sz w:val="22"/>
          <w:szCs w:val="22"/>
        </w:rPr>
        <w:t>Assess students' objective financial-literacy levels.</w:t>
      </w:r>
    </w:p>
    <w:p w14:paraId="31D81326">
      <w:pPr>
        <w:pStyle w:val="4"/>
        <w:numPr>
          <w:ilvl w:val="0"/>
          <w:numId w:val="1"/>
        </w:numPr>
        <w:bidi w:val="0"/>
        <w:ind w:left="709" w:hanging="283"/>
        <w:jc w:val="left"/>
        <w:rPr>
          <w:rFonts w:hint="default" w:ascii="Times New Roman" w:hAnsi="Times New Roman" w:cs="Times New Roman"/>
          <w:sz w:val="22"/>
          <w:szCs w:val="22"/>
        </w:rPr>
      </w:pPr>
      <w:r>
        <w:rPr>
          <w:rFonts w:hint="default" w:ascii="Times New Roman" w:hAnsi="Times New Roman" w:cs="Times New Roman"/>
          <w:sz w:val="22"/>
          <w:szCs w:val="22"/>
        </w:rPr>
        <w:t>Examine the relationships of digital financial behavior with financial management behavior and impulsive spending.</w:t>
      </w:r>
    </w:p>
    <w:p w14:paraId="03AECC50">
      <w:pPr>
        <w:pStyle w:val="4"/>
        <w:numPr>
          <w:ilvl w:val="0"/>
          <w:numId w:val="1"/>
        </w:numPr>
        <w:bidi w:val="0"/>
        <w:ind w:left="709" w:hanging="283"/>
        <w:jc w:val="left"/>
        <w:rPr>
          <w:rFonts w:hint="default" w:ascii="Times New Roman" w:hAnsi="Times New Roman" w:cs="Times New Roman"/>
          <w:sz w:val="22"/>
          <w:szCs w:val="22"/>
        </w:rPr>
      </w:pPr>
      <w:r>
        <w:rPr>
          <w:rFonts w:hint="default" w:ascii="Times New Roman" w:hAnsi="Times New Roman" w:cs="Times New Roman"/>
          <w:sz w:val="22"/>
          <w:szCs w:val="22"/>
        </w:rPr>
        <w:t>Assess the relationships of financial literacy with financial management behavior and future financial orientation.</w:t>
      </w:r>
    </w:p>
    <w:p w14:paraId="7DC649FB">
      <w:pPr>
        <w:pStyle w:val="4"/>
        <w:numPr>
          <w:ilvl w:val="0"/>
          <w:numId w:val="1"/>
        </w:numPr>
        <w:bidi w:val="0"/>
        <w:ind w:left="709" w:hanging="283"/>
        <w:jc w:val="left"/>
        <w:rPr>
          <w:rFonts w:hint="default" w:ascii="Times New Roman" w:hAnsi="Times New Roman" w:cs="Times New Roman"/>
          <w:sz w:val="22"/>
          <w:szCs w:val="22"/>
        </w:rPr>
      </w:pPr>
      <w:r>
        <w:rPr>
          <w:rFonts w:hint="default" w:ascii="Times New Roman" w:hAnsi="Times New Roman" w:cs="Times New Roman"/>
          <w:sz w:val="22"/>
          <w:szCs w:val="22"/>
        </w:rPr>
        <w:t>Examine the relationships of financial management behavior and impulsive spending with future financial orientation.</w:t>
      </w:r>
    </w:p>
    <w:p w14:paraId="718E6BDC">
      <w:pPr>
        <w:pStyle w:val="4"/>
        <w:numPr>
          <w:ilvl w:val="0"/>
          <w:numId w:val="1"/>
        </w:numPr>
        <w:bidi w:val="0"/>
        <w:ind w:left="709" w:hanging="283"/>
        <w:jc w:val="left"/>
        <w:rPr>
          <w:rFonts w:hint="default" w:ascii="Times New Roman" w:hAnsi="Times New Roman" w:cs="Times New Roman"/>
          <w:sz w:val="22"/>
          <w:szCs w:val="22"/>
        </w:rPr>
      </w:pPr>
      <w:r>
        <w:rPr>
          <w:rFonts w:hint="default" w:ascii="Times New Roman" w:hAnsi="Times New Roman" w:cs="Times New Roman"/>
          <w:sz w:val="22"/>
          <w:szCs w:val="22"/>
        </w:rPr>
        <w:t>Assess the relationship between social influence and impulsive spending.</w:t>
      </w:r>
    </w:p>
    <w:p w14:paraId="0943F671">
      <w:pPr>
        <w:pStyle w:val="4"/>
        <w:numPr>
          <w:ilvl w:val="0"/>
          <w:numId w:val="1"/>
        </w:numPr>
        <w:bidi w:val="0"/>
        <w:ind w:left="709" w:hanging="283"/>
        <w:jc w:val="left"/>
        <w:rPr>
          <w:rFonts w:hint="default" w:ascii="Times New Roman" w:hAnsi="Times New Roman" w:cs="Times New Roman"/>
          <w:sz w:val="22"/>
          <w:szCs w:val="22"/>
        </w:rPr>
      </w:pPr>
      <w:r>
        <w:rPr>
          <w:rFonts w:hint="default" w:ascii="Times New Roman" w:hAnsi="Times New Roman" w:cs="Times New Roman"/>
          <w:sz w:val="22"/>
          <w:szCs w:val="22"/>
        </w:rPr>
        <w:t>Test four specified indirect pathways through financial management behavior and impulsive spending.</w:t>
      </w:r>
    </w:p>
    <w:p w14:paraId="05BBACE9">
      <w:pPr>
        <w:pStyle w:val="4"/>
        <w:numPr>
          <w:ilvl w:val="0"/>
          <w:numId w:val="1"/>
        </w:numPr>
        <w:bidi w:val="0"/>
        <w:ind w:left="709" w:hanging="283"/>
        <w:jc w:val="left"/>
        <w:rPr>
          <w:rFonts w:hint="default" w:ascii="Times New Roman" w:hAnsi="Times New Roman" w:cs="Times New Roman"/>
          <w:sz w:val="22"/>
          <w:szCs w:val="22"/>
        </w:rPr>
      </w:pPr>
      <w:r>
        <w:rPr>
          <w:rFonts w:hint="default" w:ascii="Times New Roman" w:hAnsi="Times New Roman" w:cs="Times New Roman"/>
          <w:sz w:val="22"/>
          <w:szCs w:val="22"/>
        </w:rPr>
        <w:t>Compare objective financial-literacy scores and selected financial outcomes across academic-discipline groups, and examine within-group associations between financial literacy and selected outcomes.</w:t>
      </w:r>
    </w:p>
    <w:p w14:paraId="1295BF56">
      <w:pPr>
        <w:pStyle w:val="6"/>
        <w:bidi w:val="0"/>
        <w:rPr>
          <w:rFonts w:hint="default"/>
        </w:rPr>
      </w:pPr>
    </w:p>
    <w:p w14:paraId="54197DBE">
      <w:pPr>
        <w:pStyle w:val="6"/>
        <w:bidi w:val="0"/>
        <w:rPr>
          <w:rFonts w:hint="default"/>
        </w:rPr>
      </w:pPr>
      <w:r>
        <w:rPr>
          <w:rFonts w:hint="default"/>
        </w:rPr>
        <w:t>1.6 Research Questions</w:t>
      </w:r>
    </w:p>
    <w:p w14:paraId="0038CE43">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The study addresses the following research questions:</w:t>
      </w:r>
    </w:p>
    <w:p w14:paraId="624677CB">
      <w:pPr>
        <w:pStyle w:val="4"/>
        <w:numPr>
          <w:ilvl w:val="0"/>
          <w:numId w:val="2"/>
        </w:numPr>
        <w:bidi w:val="0"/>
        <w:ind w:left="709" w:hanging="283"/>
        <w:jc w:val="left"/>
        <w:rPr>
          <w:rFonts w:hint="default" w:ascii="Times New Roman" w:hAnsi="Times New Roman" w:cs="Times New Roman"/>
          <w:sz w:val="22"/>
          <w:szCs w:val="22"/>
        </w:rPr>
      </w:pPr>
      <w:r>
        <w:rPr>
          <w:rStyle w:val="20"/>
          <w:rFonts w:hint="default" w:ascii="Times New Roman" w:hAnsi="Times New Roman" w:cs="Times New Roman"/>
          <w:sz w:val="22"/>
          <w:szCs w:val="22"/>
        </w:rPr>
        <w:t>RQ1:</w:t>
      </w:r>
      <w:r>
        <w:rPr>
          <w:rFonts w:hint="default" w:ascii="Times New Roman" w:hAnsi="Times New Roman" w:cs="Times New Roman"/>
          <w:sz w:val="22"/>
          <w:szCs w:val="22"/>
        </w:rPr>
        <w:t xml:space="preserve"> What is the level of objective financial literacy among the surveyed higher-education students?</w:t>
      </w:r>
    </w:p>
    <w:p w14:paraId="3C2468CF">
      <w:pPr>
        <w:pStyle w:val="4"/>
        <w:numPr>
          <w:ilvl w:val="0"/>
          <w:numId w:val="2"/>
        </w:numPr>
        <w:bidi w:val="0"/>
        <w:ind w:left="709" w:hanging="283"/>
        <w:jc w:val="left"/>
        <w:rPr>
          <w:rFonts w:hint="default" w:ascii="Times New Roman" w:hAnsi="Times New Roman" w:cs="Times New Roman"/>
          <w:sz w:val="22"/>
          <w:szCs w:val="22"/>
        </w:rPr>
      </w:pPr>
      <w:r>
        <w:rPr>
          <w:rStyle w:val="20"/>
          <w:rFonts w:hint="default" w:ascii="Times New Roman" w:hAnsi="Times New Roman" w:cs="Times New Roman"/>
          <w:sz w:val="22"/>
          <w:szCs w:val="22"/>
        </w:rPr>
        <w:t>RQ2:</w:t>
      </w:r>
      <w:r>
        <w:rPr>
          <w:rFonts w:hint="default" w:ascii="Times New Roman" w:hAnsi="Times New Roman" w:cs="Times New Roman"/>
          <w:sz w:val="22"/>
          <w:szCs w:val="22"/>
        </w:rPr>
        <w:t xml:space="preserve"> How is digital financial behavior associated with financial management behavior?</w:t>
      </w:r>
    </w:p>
    <w:p w14:paraId="74EF9C81">
      <w:pPr>
        <w:pStyle w:val="4"/>
        <w:numPr>
          <w:ilvl w:val="0"/>
          <w:numId w:val="2"/>
        </w:numPr>
        <w:bidi w:val="0"/>
        <w:ind w:left="709" w:hanging="283"/>
        <w:jc w:val="left"/>
        <w:rPr>
          <w:rFonts w:hint="default" w:ascii="Times New Roman" w:hAnsi="Times New Roman" w:cs="Times New Roman"/>
          <w:sz w:val="22"/>
          <w:szCs w:val="22"/>
        </w:rPr>
      </w:pPr>
      <w:r>
        <w:rPr>
          <w:rStyle w:val="20"/>
          <w:rFonts w:hint="default" w:ascii="Times New Roman" w:hAnsi="Times New Roman" w:cs="Times New Roman"/>
          <w:sz w:val="22"/>
          <w:szCs w:val="22"/>
        </w:rPr>
        <w:t>RQ3:</w:t>
      </w:r>
      <w:r>
        <w:rPr>
          <w:rFonts w:hint="default" w:ascii="Times New Roman" w:hAnsi="Times New Roman" w:cs="Times New Roman"/>
          <w:sz w:val="22"/>
          <w:szCs w:val="22"/>
        </w:rPr>
        <w:t xml:space="preserve"> How is digital financial behavior associated with impulsive spending?</w:t>
      </w:r>
    </w:p>
    <w:p w14:paraId="26890087">
      <w:pPr>
        <w:pStyle w:val="4"/>
        <w:numPr>
          <w:ilvl w:val="0"/>
          <w:numId w:val="2"/>
        </w:numPr>
        <w:bidi w:val="0"/>
        <w:ind w:left="709" w:hanging="283"/>
        <w:jc w:val="left"/>
        <w:rPr>
          <w:rFonts w:hint="default" w:ascii="Times New Roman" w:hAnsi="Times New Roman" w:cs="Times New Roman"/>
          <w:sz w:val="22"/>
          <w:szCs w:val="22"/>
        </w:rPr>
      </w:pPr>
      <w:r>
        <w:rPr>
          <w:rStyle w:val="20"/>
          <w:rFonts w:hint="default" w:ascii="Times New Roman" w:hAnsi="Times New Roman" w:cs="Times New Roman"/>
          <w:sz w:val="22"/>
          <w:szCs w:val="22"/>
        </w:rPr>
        <w:t>RQ4:</w:t>
      </w:r>
      <w:r>
        <w:rPr>
          <w:rFonts w:hint="default" w:ascii="Times New Roman" w:hAnsi="Times New Roman" w:cs="Times New Roman"/>
          <w:sz w:val="22"/>
          <w:szCs w:val="22"/>
        </w:rPr>
        <w:t xml:space="preserve"> How is financial literacy associated with financial management behavior?</w:t>
      </w:r>
    </w:p>
    <w:p w14:paraId="4F9B2919">
      <w:pPr>
        <w:pStyle w:val="4"/>
        <w:numPr>
          <w:ilvl w:val="0"/>
          <w:numId w:val="2"/>
        </w:numPr>
        <w:bidi w:val="0"/>
        <w:ind w:left="709" w:hanging="283"/>
        <w:jc w:val="left"/>
        <w:rPr>
          <w:rFonts w:hint="default" w:ascii="Times New Roman" w:hAnsi="Times New Roman" w:cs="Times New Roman"/>
          <w:sz w:val="22"/>
          <w:szCs w:val="22"/>
        </w:rPr>
      </w:pPr>
      <w:r>
        <w:rPr>
          <w:rStyle w:val="20"/>
          <w:rFonts w:hint="default" w:ascii="Times New Roman" w:hAnsi="Times New Roman" w:cs="Times New Roman"/>
          <w:sz w:val="22"/>
          <w:szCs w:val="22"/>
        </w:rPr>
        <w:t>RQ5:</w:t>
      </w:r>
      <w:r>
        <w:rPr>
          <w:rFonts w:hint="default" w:ascii="Times New Roman" w:hAnsi="Times New Roman" w:cs="Times New Roman"/>
          <w:sz w:val="22"/>
          <w:szCs w:val="22"/>
        </w:rPr>
        <w:t xml:space="preserve"> Is financial literacy associated with future financial orientation?</w:t>
      </w:r>
    </w:p>
    <w:p w14:paraId="76CB3103">
      <w:pPr>
        <w:pStyle w:val="4"/>
        <w:numPr>
          <w:ilvl w:val="0"/>
          <w:numId w:val="2"/>
        </w:numPr>
        <w:bidi w:val="0"/>
        <w:ind w:left="709" w:hanging="283"/>
        <w:jc w:val="left"/>
        <w:rPr>
          <w:rFonts w:hint="default" w:ascii="Times New Roman" w:hAnsi="Times New Roman" w:cs="Times New Roman"/>
          <w:sz w:val="22"/>
          <w:szCs w:val="22"/>
        </w:rPr>
      </w:pPr>
      <w:r>
        <w:rPr>
          <w:rStyle w:val="20"/>
          <w:rFonts w:hint="default" w:ascii="Times New Roman" w:hAnsi="Times New Roman" w:cs="Times New Roman"/>
          <w:sz w:val="22"/>
          <w:szCs w:val="22"/>
        </w:rPr>
        <w:t>RQ6:</w:t>
      </w:r>
      <w:r>
        <w:rPr>
          <w:rFonts w:hint="default" w:ascii="Times New Roman" w:hAnsi="Times New Roman" w:cs="Times New Roman"/>
          <w:sz w:val="22"/>
          <w:szCs w:val="22"/>
        </w:rPr>
        <w:t xml:space="preserve"> How are financial management behavior and impulsive spending associated with future financial orientation?</w:t>
      </w:r>
    </w:p>
    <w:p w14:paraId="5A8AE313">
      <w:pPr>
        <w:pStyle w:val="4"/>
        <w:numPr>
          <w:ilvl w:val="0"/>
          <w:numId w:val="2"/>
        </w:numPr>
        <w:bidi w:val="0"/>
        <w:ind w:left="709" w:hanging="283"/>
        <w:jc w:val="left"/>
        <w:rPr>
          <w:rFonts w:hint="default" w:ascii="Times New Roman" w:hAnsi="Times New Roman" w:cs="Times New Roman"/>
          <w:sz w:val="22"/>
          <w:szCs w:val="22"/>
        </w:rPr>
      </w:pPr>
      <w:r>
        <w:rPr>
          <w:rStyle w:val="20"/>
          <w:rFonts w:hint="default" w:ascii="Times New Roman" w:hAnsi="Times New Roman" w:cs="Times New Roman"/>
          <w:sz w:val="22"/>
          <w:szCs w:val="22"/>
        </w:rPr>
        <w:t>RQ7:</w:t>
      </w:r>
      <w:r>
        <w:rPr>
          <w:rFonts w:hint="default" w:ascii="Times New Roman" w:hAnsi="Times New Roman" w:cs="Times New Roman"/>
          <w:sz w:val="22"/>
          <w:szCs w:val="22"/>
        </w:rPr>
        <w:t xml:space="preserve"> How is social influence associated with impulsive spending?</w:t>
      </w:r>
    </w:p>
    <w:p w14:paraId="62277F85">
      <w:pPr>
        <w:pStyle w:val="4"/>
        <w:numPr>
          <w:ilvl w:val="0"/>
          <w:numId w:val="2"/>
        </w:numPr>
        <w:bidi w:val="0"/>
        <w:ind w:left="709" w:hanging="283"/>
        <w:jc w:val="left"/>
        <w:rPr>
          <w:rFonts w:hint="default" w:ascii="Times New Roman" w:hAnsi="Times New Roman" w:cs="Times New Roman"/>
          <w:sz w:val="22"/>
          <w:szCs w:val="22"/>
        </w:rPr>
      </w:pPr>
      <w:r>
        <w:rPr>
          <w:rStyle w:val="20"/>
          <w:rFonts w:hint="default" w:ascii="Times New Roman" w:hAnsi="Times New Roman" w:cs="Times New Roman"/>
          <w:sz w:val="22"/>
          <w:szCs w:val="22"/>
        </w:rPr>
        <w:t>RQ8:</w:t>
      </w:r>
      <w:r>
        <w:rPr>
          <w:rFonts w:hint="default" w:ascii="Times New Roman" w:hAnsi="Times New Roman" w:cs="Times New Roman"/>
          <w:sz w:val="22"/>
          <w:szCs w:val="22"/>
        </w:rPr>
        <w:t xml:space="preserve"> Are the specified indirect relationships through financial management behavior and impulsive spending statistically significant?</w:t>
      </w:r>
    </w:p>
    <w:p w14:paraId="5B8464AF">
      <w:pPr>
        <w:pStyle w:val="4"/>
        <w:numPr>
          <w:ilvl w:val="0"/>
          <w:numId w:val="2"/>
        </w:numPr>
        <w:bidi w:val="0"/>
        <w:ind w:left="709" w:hanging="283"/>
        <w:jc w:val="left"/>
        <w:rPr>
          <w:rFonts w:hint="default" w:ascii="Times New Roman" w:hAnsi="Times New Roman" w:cs="Times New Roman"/>
          <w:sz w:val="22"/>
          <w:szCs w:val="22"/>
        </w:rPr>
      </w:pPr>
      <w:r>
        <w:rPr>
          <w:rFonts w:hint="default" w:ascii="Times New Roman" w:hAnsi="Times New Roman" w:cs="Times New Roman"/>
          <w:b/>
          <w:bCs/>
          <w:sz w:val="22"/>
          <w:szCs w:val="22"/>
        </w:rPr>
        <w:t>RQ9</w:t>
      </w:r>
      <w:r>
        <w:rPr>
          <w:rFonts w:hint="default" w:ascii="Times New Roman" w:hAnsi="Times New Roman" w:cs="Times New Roman"/>
          <w:sz w:val="22"/>
          <w:szCs w:val="22"/>
        </w:rPr>
        <w:t>: Do objective financial-literacy scores and selected financial outcomes differ across academic disciplines, and are within-group associations between financial literacy and selected outcomes statistically detectable?</w:t>
      </w:r>
    </w:p>
    <w:p w14:paraId="4DEF6041">
      <w:pPr>
        <w:pStyle w:val="6"/>
        <w:bidi w:val="0"/>
        <w:rPr>
          <w:rFonts w:hint="default"/>
        </w:rPr>
      </w:pPr>
      <w:r>
        <w:rPr>
          <w:rFonts w:hint="default"/>
        </w:rPr>
        <w:t>1.7 Conceptual Orientation of the Study</w:t>
      </w:r>
    </w:p>
    <w:p w14:paraId="53AF1A9B">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The framework comprises six principal constructs, operationalized as follows.</w:t>
      </w:r>
    </w:p>
    <w:tbl>
      <w:tblPr>
        <w:tblStyle w:val="9"/>
        <w:tblW w:w="9972" w:type="dxa"/>
        <w:tblInd w:w="0" w:type="dxa"/>
        <w:tblLayout w:type="fixed"/>
        <w:tblCellMar>
          <w:top w:w="28" w:type="dxa"/>
          <w:left w:w="28" w:type="dxa"/>
          <w:bottom w:w="28" w:type="dxa"/>
          <w:right w:w="28" w:type="dxa"/>
        </w:tblCellMar>
      </w:tblPr>
      <w:tblGrid>
        <w:gridCol w:w="3783"/>
        <w:gridCol w:w="6189"/>
      </w:tblGrid>
      <w:tr w14:paraId="7B9DF013">
        <w:tblPrEx>
          <w:tblCellMar>
            <w:top w:w="28" w:type="dxa"/>
            <w:left w:w="28" w:type="dxa"/>
            <w:bottom w:w="28" w:type="dxa"/>
            <w:right w:w="28" w:type="dxa"/>
          </w:tblCellMar>
        </w:tblPrEx>
        <w:tc>
          <w:tcPr>
            <w:tcW w:w="3783" w:type="dxa"/>
            <w:tcBorders>
              <w:top w:val="single" w:color="auto" w:sz="4" w:space="0"/>
              <w:left w:val="single" w:color="auto" w:sz="4" w:space="0"/>
              <w:bottom w:val="single" w:color="auto" w:sz="4" w:space="0"/>
              <w:right w:val="single" w:color="auto" w:sz="4" w:space="0"/>
            </w:tcBorders>
            <w:vAlign w:val="center"/>
          </w:tcPr>
          <w:p w14:paraId="48709AE0">
            <w:pPr>
              <w:pStyle w:val="26"/>
              <w:suppressLineNumbers/>
              <w:bidi w:val="0"/>
              <w:jc w:val="center"/>
              <w:rPr>
                <w:rFonts w:hint="default" w:ascii="Times New Roman" w:hAnsi="Times New Roman" w:cs="Times New Roman"/>
                <w:sz w:val="22"/>
                <w:szCs w:val="22"/>
              </w:rPr>
            </w:pPr>
            <w:r>
              <w:rPr>
                <w:rFonts w:hint="default" w:ascii="Times New Roman" w:hAnsi="Times New Roman" w:cs="Times New Roman"/>
                <w:sz w:val="22"/>
                <w:szCs w:val="22"/>
              </w:rPr>
              <w:t>Construct</w:t>
            </w:r>
          </w:p>
        </w:tc>
        <w:tc>
          <w:tcPr>
            <w:tcW w:w="6189" w:type="dxa"/>
            <w:tcBorders>
              <w:top w:val="single" w:color="auto" w:sz="4" w:space="0"/>
              <w:left w:val="single" w:color="auto" w:sz="4" w:space="0"/>
              <w:bottom w:val="single" w:color="auto" w:sz="4" w:space="0"/>
              <w:right w:val="single" w:color="auto" w:sz="4" w:space="0"/>
            </w:tcBorders>
            <w:vAlign w:val="center"/>
          </w:tcPr>
          <w:p w14:paraId="67F2192D">
            <w:pPr>
              <w:pStyle w:val="26"/>
              <w:suppressLineNumbers/>
              <w:bidi w:val="0"/>
              <w:jc w:val="center"/>
              <w:rPr>
                <w:rFonts w:hint="default" w:ascii="Times New Roman" w:hAnsi="Times New Roman" w:cs="Times New Roman"/>
                <w:sz w:val="22"/>
                <w:szCs w:val="22"/>
              </w:rPr>
            </w:pPr>
            <w:r>
              <w:rPr>
                <w:rFonts w:hint="default" w:ascii="Times New Roman" w:hAnsi="Times New Roman" w:cs="Times New Roman"/>
                <w:sz w:val="22"/>
                <w:szCs w:val="22"/>
              </w:rPr>
              <w:t>Operationalization</w:t>
            </w:r>
          </w:p>
        </w:tc>
      </w:tr>
      <w:tr w14:paraId="62392A6E">
        <w:tblPrEx>
          <w:tblCellMar>
            <w:top w:w="28" w:type="dxa"/>
            <w:left w:w="28" w:type="dxa"/>
            <w:bottom w:w="28" w:type="dxa"/>
            <w:right w:w="28" w:type="dxa"/>
          </w:tblCellMar>
        </w:tblPrEx>
        <w:tc>
          <w:tcPr>
            <w:tcW w:w="3783" w:type="dxa"/>
            <w:tcBorders>
              <w:top w:val="single" w:color="auto" w:sz="4" w:space="0"/>
              <w:left w:val="single" w:color="auto" w:sz="4" w:space="0"/>
              <w:bottom w:val="single" w:color="auto" w:sz="4" w:space="0"/>
              <w:right w:val="single" w:color="auto" w:sz="4" w:space="0"/>
            </w:tcBorders>
            <w:vAlign w:val="center"/>
          </w:tcPr>
          <w:p w14:paraId="212A2E2D">
            <w:pPr>
              <w:pStyle w:val="25"/>
              <w:widowControl w:val="0"/>
              <w:suppressLineNumbers/>
              <w:bidi w:val="0"/>
              <w:jc w:val="left"/>
              <w:rPr>
                <w:rFonts w:hint="default" w:ascii="Times New Roman" w:hAnsi="Times New Roman" w:cs="Times New Roman"/>
                <w:sz w:val="22"/>
                <w:szCs w:val="22"/>
              </w:rPr>
            </w:pPr>
            <w:r>
              <w:rPr>
                <w:rFonts w:hint="default" w:ascii="Times New Roman" w:hAnsi="Times New Roman" w:cs="Times New Roman"/>
                <w:sz w:val="22"/>
                <w:szCs w:val="22"/>
              </w:rPr>
              <w:t>Financial Literacy (FL)</w:t>
            </w:r>
          </w:p>
        </w:tc>
        <w:tc>
          <w:tcPr>
            <w:tcW w:w="6189" w:type="dxa"/>
            <w:tcBorders>
              <w:top w:val="single" w:color="auto" w:sz="4" w:space="0"/>
              <w:left w:val="single" w:color="auto" w:sz="4" w:space="0"/>
              <w:bottom w:val="single" w:color="auto" w:sz="4" w:space="0"/>
              <w:right w:val="single" w:color="auto" w:sz="4" w:space="0"/>
            </w:tcBorders>
            <w:vAlign w:val="center"/>
          </w:tcPr>
          <w:p w14:paraId="45466844">
            <w:pPr>
              <w:pStyle w:val="25"/>
              <w:widowControl w:val="0"/>
              <w:suppressLineNumbers/>
              <w:bidi w:val="0"/>
              <w:jc w:val="left"/>
              <w:rPr>
                <w:rFonts w:hint="default" w:ascii="Times New Roman" w:hAnsi="Times New Roman" w:cs="Times New Roman"/>
                <w:sz w:val="22"/>
                <w:szCs w:val="22"/>
              </w:rPr>
            </w:pPr>
            <w:r>
              <w:rPr>
                <w:rFonts w:hint="default" w:ascii="Times New Roman" w:hAnsi="Times New Roman" w:cs="Times New Roman"/>
                <w:sz w:val="22"/>
                <w:szCs w:val="22"/>
              </w:rPr>
              <w:t>Objective knowledge score based on Q8–Q12, ranging from 0 to 5</w:t>
            </w:r>
          </w:p>
        </w:tc>
      </w:tr>
      <w:tr w14:paraId="4531BCB3">
        <w:tblPrEx>
          <w:tblCellMar>
            <w:top w:w="28" w:type="dxa"/>
            <w:left w:w="28" w:type="dxa"/>
            <w:bottom w:w="28" w:type="dxa"/>
            <w:right w:w="28" w:type="dxa"/>
          </w:tblCellMar>
        </w:tblPrEx>
        <w:tc>
          <w:tcPr>
            <w:tcW w:w="3783" w:type="dxa"/>
            <w:tcBorders>
              <w:top w:val="single" w:color="auto" w:sz="4" w:space="0"/>
              <w:left w:val="single" w:color="auto" w:sz="4" w:space="0"/>
              <w:bottom w:val="single" w:color="auto" w:sz="4" w:space="0"/>
              <w:right w:val="single" w:color="auto" w:sz="4" w:space="0"/>
            </w:tcBorders>
            <w:vAlign w:val="center"/>
          </w:tcPr>
          <w:p w14:paraId="251622AC">
            <w:pPr>
              <w:pStyle w:val="25"/>
              <w:widowControl w:val="0"/>
              <w:suppressLineNumbers/>
              <w:bidi w:val="0"/>
              <w:jc w:val="left"/>
              <w:rPr>
                <w:rFonts w:hint="default" w:ascii="Times New Roman" w:hAnsi="Times New Roman" w:cs="Times New Roman"/>
                <w:sz w:val="22"/>
                <w:szCs w:val="22"/>
              </w:rPr>
            </w:pPr>
            <w:r>
              <w:rPr>
                <w:rFonts w:hint="default" w:ascii="Times New Roman" w:hAnsi="Times New Roman" w:cs="Times New Roman"/>
                <w:sz w:val="22"/>
                <w:szCs w:val="22"/>
              </w:rPr>
              <w:t>Digital Financial Behavior (DFB)</w:t>
            </w:r>
          </w:p>
        </w:tc>
        <w:tc>
          <w:tcPr>
            <w:tcW w:w="6189" w:type="dxa"/>
            <w:tcBorders>
              <w:top w:val="single" w:color="auto" w:sz="4" w:space="0"/>
              <w:left w:val="single" w:color="auto" w:sz="4" w:space="0"/>
              <w:bottom w:val="single" w:color="auto" w:sz="4" w:space="0"/>
              <w:right w:val="single" w:color="auto" w:sz="4" w:space="0"/>
            </w:tcBorders>
            <w:vAlign w:val="center"/>
          </w:tcPr>
          <w:p w14:paraId="672F2AF8">
            <w:pPr>
              <w:pStyle w:val="25"/>
              <w:widowControl w:val="0"/>
              <w:suppressLineNumbers/>
              <w:bidi w:val="0"/>
              <w:jc w:val="left"/>
              <w:rPr>
                <w:rFonts w:hint="default" w:ascii="Times New Roman" w:hAnsi="Times New Roman" w:cs="Times New Roman"/>
                <w:sz w:val="22"/>
                <w:szCs w:val="22"/>
              </w:rPr>
            </w:pPr>
            <w:r>
              <w:rPr>
                <w:rFonts w:hint="default" w:ascii="Times New Roman" w:hAnsi="Times New Roman" w:cs="Times New Roman"/>
                <w:sz w:val="22"/>
                <w:szCs w:val="22"/>
              </w:rPr>
              <w:t>Q14–Q16</w:t>
            </w:r>
          </w:p>
        </w:tc>
      </w:tr>
      <w:tr w14:paraId="2D844470">
        <w:tblPrEx>
          <w:tblCellMar>
            <w:top w:w="28" w:type="dxa"/>
            <w:left w:w="28" w:type="dxa"/>
            <w:bottom w:w="28" w:type="dxa"/>
            <w:right w:w="28" w:type="dxa"/>
          </w:tblCellMar>
        </w:tblPrEx>
        <w:tc>
          <w:tcPr>
            <w:tcW w:w="3783" w:type="dxa"/>
            <w:tcBorders>
              <w:top w:val="single" w:color="auto" w:sz="4" w:space="0"/>
              <w:left w:val="single" w:color="auto" w:sz="4" w:space="0"/>
              <w:bottom w:val="single" w:color="auto" w:sz="4" w:space="0"/>
              <w:right w:val="single" w:color="auto" w:sz="4" w:space="0"/>
            </w:tcBorders>
            <w:vAlign w:val="center"/>
          </w:tcPr>
          <w:p w14:paraId="52C44148">
            <w:pPr>
              <w:pStyle w:val="25"/>
              <w:widowControl w:val="0"/>
              <w:suppressLineNumbers/>
              <w:bidi w:val="0"/>
              <w:jc w:val="left"/>
              <w:rPr>
                <w:rFonts w:hint="default" w:ascii="Times New Roman" w:hAnsi="Times New Roman" w:cs="Times New Roman"/>
                <w:sz w:val="22"/>
                <w:szCs w:val="22"/>
              </w:rPr>
            </w:pPr>
            <w:r>
              <w:rPr>
                <w:rFonts w:hint="default" w:ascii="Times New Roman" w:hAnsi="Times New Roman" w:cs="Times New Roman"/>
                <w:sz w:val="22"/>
                <w:szCs w:val="22"/>
              </w:rPr>
              <w:t>Financial Management Behavior (FMB)</w:t>
            </w:r>
          </w:p>
        </w:tc>
        <w:tc>
          <w:tcPr>
            <w:tcW w:w="6189" w:type="dxa"/>
            <w:tcBorders>
              <w:top w:val="single" w:color="auto" w:sz="4" w:space="0"/>
              <w:left w:val="single" w:color="auto" w:sz="4" w:space="0"/>
              <w:bottom w:val="single" w:color="auto" w:sz="4" w:space="0"/>
              <w:right w:val="single" w:color="auto" w:sz="4" w:space="0"/>
            </w:tcBorders>
            <w:vAlign w:val="center"/>
          </w:tcPr>
          <w:p w14:paraId="1A16DDD1">
            <w:pPr>
              <w:pStyle w:val="25"/>
              <w:widowControl w:val="0"/>
              <w:suppressLineNumbers/>
              <w:bidi w:val="0"/>
              <w:jc w:val="left"/>
              <w:rPr>
                <w:rFonts w:hint="default" w:ascii="Times New Roman" w:hAnsi="Times New Roman" w:cs="Times New Roman"/>
                <w:sz w:val="22"/>
                <w:szCs w:val="22"/>
              </w:rPr>
            </w:pPr>
            <w:r>
              <w:rPr>
                <w:rFonts w:hint="default" w:ascii="Times New Roman" w:hAnsi="Times New Roman" w:cs="Times New Roman"/>
                <w:sz w:val="22"/>
                <w:szCs w:val="22"/>
              </w:rPr>
              <w:t>Q17–Q19</w:t>
            </w:r>
          </w:p>
        </w:tc>
      </w:tr>
      <w:tr w14:paraId="3267CC7E">
        <w:tblPrEx>
          <w:tblCellMar>
            <w:top w:w="28" w:type="dxa"/>
            <w:left w:w="28" w:type="dxa"/>
            <w:bottom w:w="28" w:type="dxa"/>
            <w:right w:w="28" w:type="dxa"/>
          </w:tblCellMar>
        </w:tblPrEx>
        <w:tc>
          <w:tcPr>
            <w:tcW w:w="3783" w:type="dxa"/>
            <w:tcBorders>
              <w:top w:val="single" w:color="auto" w:sz="4" w:space="0"/>
              <w:left w:val="single" w:color="auto" w:sz="4" w:space="0"/>
              <w:bottom w:val="single" w:color="auto" w:sz="4" w:space="0"/>
              <w:right w:val="single" w:color="auto" w:sz="4" w:space="0"/>
            </w:tcBorders>
            <w:vAlign w:val="center"/>
          </w:tcPr>
          <w:p w14:paraId="5663AA40">
            <w:pPr>
              <w:pStyle w:val="25"/>
              <w:widowControl w:val="0"/>
              <w:suppressLineNumbers/>
              <w:bidi w:val="0"/>
              <w:jc w:val="left"/>
              <w:rPr>
                <w:rFonts w:hint="default" w:ascii="Times New Roman" w:hAnsi="Times New Roman" w:cs="Times New Roman"/>
                <w:sz w:val="22"/>
                <w:szCs w:val="22"/>
              </w:rPr>
            </w:pPr>
            <w:r>
              <w:rPr>
                <w:rFonts w:hint="default" w:ascii="Times New Roman" w:hAnsi="Times New Roman" w:cs="Times New Roman"/>
                <w:sz w:val="22"/>
                <w:szCs w:val="22"/>
              </w:rPr>
              <w:t>Impulsive Spending Behavior (ISB)</w:t>
            </w:r>
          </w:p>
        </w:tc>
        <w:tc>
          <w:tcPr>
            <w:tcW w:w="6189" w:type="dxa"/>
            <w:tcBorders>
              <w:top w:val="single" w:color="auto" w:sz="4" w:space="0"/>
              <w:left w:val="single" w:color="auto" w:sz="4" w:space="0"/>
              <w:bottom w:val="single" w:color="auto" w:sz="4" w:space="0"/>
              <w:right w:val="single" w:color="auto" w:sz="4" w:space="0"/>
            </w:tcBorders>
            <w:vAlign w:val="center"/>
          </w:tcPr>
          <w:p w14:paraId="39E07B9D">
            <w:pPr>
              <w:pStyle w:val="25"/>
              <w:widowControl w:val="0"/>
              <w:suppressLineNumbers/>
              <w:bidi w:val="0"/>
              <w:jc w:val="left"/>
              <w:rPr>
                <w:rFonts w:hint="default" w:ascii="Times New Roman" w:hAnsi="Times New Roman" w:cs="Times New Roman"/>
                <w:sz w:val="22"/>
                <w:szCs w:val="22"/>
              </w:rPr>
            </w:pPr>
            <w:r>
              <w:rPr>
                <w:rFonts w:hint="default" w:ascii="Times New Roman" w:hAnsi="Times New Roman" w:cs="Times New Roman"/>
                <w:sz w:val="22"/>
                <w:szCs w:val="22"/>
              </w:rPr>
              <w:t>Q20–Q22</w:t>
            </w:r>
          </w:p>
        </w:tc>
      </w:tr>
      <w:tr w14:paraId="5C6EA960">
        <w:tblPrEx>
          <w:tblCellMar>
            <w:top w:w="28" w:type="dxa"/>
            <w:left w:w="28" w:type="dxa"/>
            <w:bottom w:w="28" w:type="dxa"/>
            <w:right w:w="28" w:type="dxa"/>
          </w:tblCellMar>
        </w:tblPrEx>
        <w:tc>
          <w:tcPr>
            <w:tcW w:w="3783" w:type="dxa"/>
            <w:tcBorders>
              <w:top w:val="single" w:color="auto" w:sz="4" w:space="0"/>
              <w:left w:val="single" w:color="auto" w:sz="4" w:space="0"/>
              <w:bottom w:val="single" w:color="auto" w:sz="4" w:space="0"/>
              <w:right w:val="single" w:color="auto" w:sz="4" w:space="0"/>
            </w:tcBorders>
            <w:vAlign w:val="center"/>
          </w:tcPr>
          <w:p w14:paraId="5EA1AA86">
            <w:pPr>
              <w:pStyle w:val="25"/>
              <w:widowControl w:val="0"/>
              <w:suppressLineNumbers/>
              <w:bidi w:val="0"/>
              <w:jc w:val="left"/>
              <w:rPr>
                <w:rFonts w:hint="default" w:ascii="Times New Roman" w:hAnsi="Times New Roman" w:cs="Times New Roman"/>
                <w:sz w:val="22"/>
                <w:szCs w:val="22"/>
              </w:rPr>
            </w:pPr>
            <w:r>
              <w:rPr>
                <w:rFonts w:hint="default" w:ascii="Times New Roman" w:hAnsi="Times New Roman" w:cs="Times New Roman"/>
                <w:sz w:val="22"/>
                <w:szCs w:val="22"/>
              </w:rPr>
              <w:t>Social Influence (SI)</w:t>
            </w:r>
          </w:p>
        </w:tc>
        <w:tc>
          <w:tcPr>
            <w:tcW w:w="6189" w:type="dxa"/>
            <w:tcBorders>
              <w:top w:val="single" w:color="auto" w:sz="4" w:space="0"/>
              <w:left w:val="single" w:color="auto" w:sz="4" w:space="0"/>
              <w:bottom w:val="single" w:color="auto" w:sz="4" w:space="0"/>
              <w:right w:val="single" w:color="auto" w:sz="4" w:space="0"/>
            </w:tcBorders>
            <w:vAlign w:val="center"/>
          </w:tcPr>
          <w:p w14:paraId="78EC0A55">
            <w:pPr>
              <w:pStyle w:val="25"/>
              <w:widowControl w:val="0"/>
              <w:suppressLineNumbers/>
              <w:bidi w:val="0"/>
              <w:jc w:val="left"/>
              <w:rPr>
                <w:rFonts w:hint="default" w:ascii="Times New Roman" w:hAnsi="Times New Roman" w:cs="Times New Roman"/>
                <w:sz w:val="22"/>
                <w:szCs w:val="22"/>
              </w:rPr>
            </w:pPr>
            <w:r>
              <w:rPr>
                <w:rFonts w:hint="default" w:ascii="Times New Roman" w:hAnsi="Times New Roman" w:cs="Times New Roman"/>
                <w:sz w:val="22"/>
                <w:szCs w:val="22"/>
              </w:rPr>
              <w:t>Q23–Q25</w:t>
            </w:r>
          </w:p>
        </w:tc>
      </w:tr>
      <w:tr w14:paraId="546E592A">
        <w:tblPrEx>
          <w:tblCellMar>
            <w:top w:w="28" w:type="dxa"/>
            <w:left w:w="28" w:type="dxa"/>
            <w:bottom w:w="28" w:type="dxa"/>
            <w:right w:w="28" w:type="dxa"/>
          </w:tblCellMar>
        </w:tblPrEx>
        <w:tc>
          <w:tcPr>
            <w:tcW w:w="3783" w:type="dxa"/>
            <w:tcBorders>
              <w:top w:val="single" w:color="auto" w:sz="4" w:space="0"/>
              <w:left w:val="single" w:color="auto" w:sz="4" w:space="0"/>
              <w:bottom w:val="single" w:color="auto" w:sz="4" w:space="0"/>
              <w:right w:val="single" w:color="auto" w:sz="4" w:space="0"/>
            </w:tcBorders>
            <w:vAlign w:val="center"/>
          </w:tcPr>
          <w:p w14:paraId="2D839F03">
            <w:pPr>
              <w:pStyle w:val="25"/>
              <w:widowControl w:val="0"/>
              <w:suppressLineNumbers/>
              <w:bidi w:val="0"/>
              <w:jc w:val="left"/>
              <w:rPr>
                <w:rFonts w:hint="default" w:ascii="Times New Roman" w:hAnsi="Times New Roman" w:cs="Times New Roman"/>
                <w:sz w:val="22"/>
                <w:szCs w:val="22"/>
              </w:rPr>
            </w:pPr>
            <w:r>
              <w:rPr>
                <w:rFonts w:hint="default" w:ascii="Times New Roman" w:hAnsi="Times New Roman" w:cs="Times New Roman"/>
                <w:sz w:val="22"/>
                <w:szCs w:val="22"/>
              </w:rPr>
              <w:t>Future Financial Orientation (FFO)</w:t>
            </w:r>
          </w:p>
        </w:tc>
        <w:tc>
          <w:tcPr>
            <w:tcW w:w="6189" w:type="dxa"/>
            <w:tcBorders>
              <w:top w:val="single" w:color="auto" w:sz="4" w:space="0"/>
              <w:left w:val="single" w:color="auto" w:sz="4" w:space="0"/>
              <w:bottom w:val="single" w:color="auto" w:sz="4" w:space="0"/>
              <w:right w:val="single" w:color="auto" w:sz="4" w:space="0"/>
            </w:tcBorders>
            <w:vAlign w:val="center"/>
          </w:tcPr>
          <w:p w14:paraId="294FD617">
            <w:pPr>
              <w:pStyle w:val="25"/>
              <w:widowControl w:val="0"/>
              <w:suppressLineNumbers/>
              <w:bidi w:val="0"/>
              <w:jc w:val="left"/>
              <w:rPr>
                <w:rFonts w:hint="default" w:ascii="Times New Roman" w:hAnsi="Times New Roman" w:cs="Times New Roman"/>
                <w:sz w:val="22"/>
                <w:szCs w:val="22"/>
              </w:rPr>
            </w:pPr>
            <w:r>
              <w:rPr>
                <w:rFonts w:hint="default" w:ascii="Times New Roman" w:hAnsi="Times New Roman" w:cs="Times New Roman"/>
                <w:sz w:val="22"/>
                <w:szCs w:val="22"/>
              </w:rPr>
              <w:t>Single-item measure, Q26</w:t>
            </w:r>
          </w:p>
        </w:tc>
      </w:tr>
    </w:tbl>
    <w:p w14:paraId="43ED5C02">
      <w:pPr>
        <w:pStyle w:val="4"/>
        <w:bidi w:val="0"/>
        <w:spacing w:before="0" w:after="140" w:line="276" w:lineRule="auto"/>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Table-1: </w:t>
      </w:r>
      <w:r>
        <w:rPr>
          <w:rFonts w:ascii="SimSun" w:hAnsi="SimSun" w:eastAsia="SimSun" w:cs="SimSun"/>
          <w:sz w:val="22"/>
          <w:szCs w:val="22"/>
        </w:rPr>
        <w:t>Constructs and Operationalization</w:t>
      </w:r>
    </w:p>
    <w:p w14:paraId="3AA01890">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measures digital financial-service usage frequency and is treated separately as a descriptive variable rather than as an indicator of DFB.</w:t>
      </w:r>
    </w:p>
    <w:p w14:paraId="5DC4965E">
      <w:pPr>
        <w:pStyle w:val="4"/>
        <w:bidi w:val="0"/>
        <w:spacing w:before="0" w:after="140" w:line="276" w:lineRule="auto"/>
        <w:jc w:val="left"/>
        <w:rPr>
          <w:rFonts w:hint="default" w:ascii="Times New Roman" w:hAnsi="Times New Roman" w:cs="Times New Roman"/>
          <w:sz w:val="22"/>
          <w:szCs w:val="22"/>
        </w:rPr>
      </w:pPr>
    </w:p>
    <w:p w14:paraId="2D4B28AE">
      <w:pPr>
        <w:pStyle w:val="4"/>
        <w:bidi w:val="0"/>
        <w:spacing w:before="0" w:after="140" w:line="276" w:lineRule="auto"/>
        <w:jc w:val="left"/>
        <w:rPr>
          <w:rFonts w:hint="default" w:ascii="Times New Roman" w:hAnsi="Times New Roman" w:cs="Times New Roman"/>
          <w:sz w:val="22"/>
          <w:szCs w:val="22"/>
        </w:rPr>
      </w:pPr>
    </w:p>
    <w:p w14:paraId="5CA2F2D2">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The structural framework examines the following direct relationships:</w:t>
      </w:r>
    </w:p>
    <w:p w14:paraId="422D5DC6">
      <w:pPr>
        <w:pStyle w:val="4"/>
        <w:numPr>
          <w:ilvl w:val="0"/>
          <w:numId w:val="3"/>
        </w:numPr>
        <w:bidi w:val="0"/>
        <w:ind w:left="709" w:hanging="283"/>
        <w:jc w:val="left"/>
        <w:rPr>
          <w:rFonts w:hint="default" w:ascii="Times New Roman" w:hAnsi="Times New Roman" w:cs="Times New Roman"/>
          <w:sz w:val="22"/>
          <w:szCs w:val="22"/>
        </w:rPr>
      </w:pPr>
      <w:r>
        <w:rPr>
          <w:rFonts w:hint="default" w:ascii="Times New Roman" w:hAnsi="Times New Roman" w:cs="Times New Roman"/>
          <w:sz w:val="22"/>
          <w:szCs w:val="22"/>
        </w:rPr>
        <w:t>FL → FMB</w:t>
      </w:r>
    </w:p>
    <w:p w14:paraId="3A0A7F61">
      <w:pPr>
        <w:pStyle w:val="4"/>
        <w:numPr>
          <w:ilvl w:val="0"/>
          <w:numId w:val="3"/>
        </w:numPr>
        <w:bidi w:val="0"/>
        <w:ind w:left="709" w:hanging="283"/>
        <w:jc w:val="left"/>
        <w:rPr>
          <w:rFonts w:hint="default" w:ascii="Times New Roman" w:hAnsi="Times New Roman" w:cs="Times New Roman"/>
          <w:sz w:val="22"/>
          <w:szCs w:val="22"/>
        </w:rPr>
      </w:pPr>
      <w:r>
        <w:rPr>
          <w:rFonts w:hint="default" w:ascii="Times New Roman" w:hAnsi="Times New Roman" w:cs="Times New Roman"/>
          <w:sz w:val="22"/>
          <w:szCs w:val="22"/>
        </w:rPr>
        <w:t>FL → FFO</w:t>
      </w:r>
    </w:p>
    <w:p w14:paraId="092D92E6">
      <w:pPr>
        <w:pStyle w:val="4"/>
        <w:numPr>
          <w:ilvl w:val="0"/>
          <w:numId w:val="3"/>
        </w:numPr>
        <w:bidi w:val="0"/>
        <w:ind w:left="709" w:hanging="283"/>
        <w:jc w:val="left"/>
        <w:rPr>
          <w:rFonts w:hint="default" w:ascii="Times New Roman" w:hAnsi="Times New Roman" w:cs="Times New Roman"/>
          <w:sz w:val="22"/>
          <w:szCs w:val="22"/>
        </w:rPr>
      </w:pPr>
      <w:r>
        <w:rPr>
          <w:rFonts w:hint="default" w:ascii="Times New Roman" w:hAnsi="Times New Roman" w:cs="Times New Roman"/>
          <w:sz w:val="22"/>
          <w:szCs w:val="22"/>
        </w:rPr>
        <w:t>DFB → FMB</w:t>
      </w:r>
    </w:p>
    <w:p w14:paraId="1AB8A193">
      <w:pPr>
        <w:pStyle w:val="4"/>
        <w:numPr>
          <w:ilvl w:val="0"/>
          <w:numId w:val="3"/>
        </w:numPr>
        <w:bidi w:val="0"/>
        <w:ind w:left="709" w:hanging="283"/>
        <w:jc w:val="left"/>
        <w:rPr>
          <w:rFonts w:hint="default" w:ascii="Times New Roman" w:hAnsi="Times New Roman" w:cs="Times New Roman"/>
          <w:sz w:val="22"/>
          <w:szCs w:val="22"/>
        </w:rPr>
      </w:pPr>
      <w:r>
        <w:rPr>
          <w:rFonts w:hint="default" w:ascii="Times New Roman" w:hAnsi="Times New Roman" w:cs="Times New Roman"/>
          <w:sz w:val="22"/>
          <w:szCs w:val="22"/>
        </w:rPr>
        <w:t>DFB → ISB</w:t>
      </w:r>
    </w:p>
    <w:p w14:paraId="377996DA">
      <w:pPr>
        <w:pStyle w:val="4"/>
        <w:numPr>
          <w:ilvl w:val="0"/>
          <w:numId w:val="3"/>
        </w:numPr>
        <w:bidi w:val="0"/>
        <w:ind w:left="709" w:hanging="283"/>
        <w:jc w:val="left"/>
        <w:rPr>
          <w:rFonts w:hint="default" w:ascii="Times New Roman" w:hAnsi="Times New Roman" w:cs="Times New Roman"/>
          <w:sz w:val="22"/>
          <w:szCs w:val="22"/>
        </w:rPr>
      </w:pPr>
      <w:r>
        <w:rPr>
          <w:rFonts w:hint="default" w:ascii="Times New Roman" w:hAnsi="Times New Roman" w:cs="Times New Roman"/>
          <w:sz w:val="22"/>
          <w:szCs w:val="22"/>
        </w:rPr>
        <w:t>FMB → FFO</w:t>
      </w:r>
    </w:p>
    <w:p w14:paraId="2986D937">
      <w:pPr>
        <w:pStyle w:val="4"/>
        <w:numPr>
          <w:ilvl w:val="0"/>
          <w:numId w:val="3"/>
        </w:numPr>
        <w:bidi w:val="0"/>
        <w:ind w:left="709" w:hanging="283"/>
        <w:jc w:val="left"/>
        <w:rPr>
          <w:rFonts w:hint="default" w:ascii="Times New Roman" w:hAnsi="Times New Roman" w:cs="Times New Roman"/>
          <w:sz w:val="22"/>
          <w:szCs w:val="22"/>
        </w:rPr>
      </w:pPr>
      <w:r>
        <w:rPr>
          <w:rFonts w:hint="default" w:ascii="Times New Roman" w:hAnsi="Times New Roman" w:cs="Times New Roman"/>
          <w:sz w:val="22"/>
          <w:szCs w:val="22"/>
        </w:rPr>
        <w:t>ISB → FFO</w:t>
      </w:r>
    </w:p>
    <w:p w14:paraId="6D0BF892">
      <w:pPr>
        <w:pStyle w:val="4"/>
        <w:numPr>
          <w:ilvl w:val="0"/>
          <w:numId w:val="3"/>
        </w:numPr>
        <w:bidi w:val="0"/>
        <w:ind w:left="709" w:hanging="283"/>
        <w:jc w:val="left"/>
        <w:rPr>
          <w:rFonts w:hint="default" w:ascii="Times New Roman" w:hAnsi="Times New Roman" w:cs="Times New Roman"/>
          <w:sz w:val="22"/>
          <w:szCs w:val="22"/>
        </w:rPr>
      </w:pPr>
      <w:r>
        <w:rPr>
          <w:rFonts w:hint="default" w:ascii="Times New Roman" w:hAnsi="Times New Roman" w:cs="Times New Roman"/>
          <w:sz w:val="22"/>
          <w:szCs w:val="22"/>
        </w:rPr>
        <w:t>SI → ISB</w:t>
      </w:r>
    </w:p>
    <w:p w14:paraId="3FCACC0B">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Four specific indirect pathways are also evaluated:</w:t>
      </w:r>
    </w:p>
    <w:p w14:paraId="6F6D385E">
      <w:pPr>
        <w:pStyle w:val="4"/>
        <w:numPr>
          <w:ilvl w:val="0"/>
          <w:numId w:val="4"/>
        </w:numPr>
        <w:bidi w:val="0"/>
        <w:ind w:left="709" w:hanging="283"/>
        <w:jc w:val="left"/>
        <w:rPr>
          <w:rFonts w:hint="default" w:ascii="Times New Roman" w:hAnsi="Times New Roman" w:cs="Times New Roman"/>
          <w:sz w:val="22"/>
          <w:szCs w:val="22"/>
        </w:rPr>
      </w:pPr>
      <w:r>
        <w:rPr>
          <w:rFonts w:hint="default" w:ascii="Times New Roman" w:hAnsi="Times New Roman" w:cs="Times New Roman"/>
          <w:sz w:val="22"/>
          <w:szCs w:val="22"/>
        </w:rPr>
        <w:t>FL → FMB → FFO</w:t>
      </w:r>
    </w:p>
    <w:p w14:paraId="7D93089F">
      <w:pPr>
        <w:pStyle w:val="4"/>
        <w:numPr>
          <w:ilvl w:val="0"/>
          <w:numId w:val="4"/>
        </w:numPr>
        <w:bidi w:val="0"/>
        <w:ind w:left="709" w:hanging="283"/>
        <w:jc w:val="left"/>
        <w:rPr>
          <w:rFonts w:hint="default" w:ascii="Times New Roman" w:hAnsi="Times New Roman" w:cs="Times New Roman"/>
          <w:sz w:val="22"/>
          <w:szCs w:val="22"/>
        </w:rPr>
      </w:pPr>
      <w:r>
        <w:rPr>
          <w:rFonts w:hint="default" w:ascii="Times New Roman" w:hAnsi="Times New Roman" w:cs="Times New Roman"/>
          <w:sz w:val="22"/>
          <w:szCs w:val="22"/>
        </w:rPr>
        <w:t>DFB → FMB → FFO</w:t>
      </w:r>
    </w:p>
    <w:p w14:paraId="441961B0">
      <w:pPr>
        <w:pStyle w:val="4"/>
        <w:numPr>
          <w:ilvl w:val="0"/>
          <w:numId w:val="4"/>
        </w:numPr>
        <w:bidi w:val="0"/>
        <w:ind w:left="709" w:hanging="283"/>
        <w:jc w:val="left"/>
        <w:rPr>
          <w:rFonts w:hint="default" w:ascii="Times New Roman" w:hAnsi="Times New Roman" w:cs="Times New Roman"/>
          <w:sz w:val="22"/>
          <w:szCs w:val="22"/>
        </w:rPr>
      </w:pPr>
      <w:r>
        <w:rPr>
          <w:rFonts w:hint="default" w:ascii="Times New Roman" w:hAnsi="Times New Roman" w:cs="Times New Roman"/>
          <w:sz w:val="22"/>
          <w:szCs w:val="22"/>
        </w:rPr>
        <w:t>DFB → ISB → FFO</w:t>
      </w:r>
    </w:p>
    <w:p w14:paraId="0769E3DB">
      <w:pPr>
        <w:pStyle w:val="4"/>
        <w:numPr>
          <w:ilvl w:val="0"/>
          <w:numId w:val="4"/>
        </w:numPr>
        <w:bidi w:val="0"/>
        <w:ind w:left="709" w:hanging="283"/>
        <w:jc w:val="left"/>
        <w:rPr>
          <w:rFonts w:hint="default" w:ascii="Times New Roman" w:hAnsi="Times New Roman" w:cs="Times New Roman"/>
          <w:sz w:val="22"/>
          <w:szCs w:val="22"/>
        </w:rPr>
      </w:pPr>
      <w:r>
        <w:rPr>
          <w:rFonts w:hint="default" w:ascii="Times New Roman" w:hAnsi="Times New Roman" w:cs="Times New Roman"/>
          <w:sz w:val="22"/>
          <w:szCs w:val="22"/>
        </w:rPr>
        <w:t>SI → ISB → FFO</w:t>
      </w:r>
    </w:p>
    <w:p w14:paraId="76E1E9D5">
      <w:pPr>
        <w:pStyle w:val="19"/>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cs="Times New Roman"/>
          <w:sz w:val="22"/>
          <w:szCs w:val="22"/>
        </w:rPr>
        <w:t>The formal hypotheses and their theoretical justification are developed in the Literature Review and Hypothesis Development section.</w:t>
      </w:r>
      <w:r>
        <w:rPr>
          <w:rFonts w:hint="default" w:ascii="Times New Roman" w:hAnsi="Times New Roman" w:cs="Times New Roman"/>
          <w:sz w:val="22"/>
          <w:szCs w:val="22"/>
        </w:rPr>
        <w:br w:type="textWrapping"/>
      </w:r>
      <w:r>
        <w:rPr>
          <w:rFonts w:hint="default" w:ascii="Times New Roman" w:hAnsi="Times New Roman" w:cs="Times New Roman"/>
          <w:sz w:val="22"/>
          <w:szCs w:val="22"/>
        </w:rPr>
        <w:br w:type="textWrapping"/>
      </w:r>
      <w:r>
        <w:rPr>
          <w:rStyle w:val="20"/>
          <w:rFonts w:hint="default" w:ascii="Times New Roman" w:hAnsi="Times New Roman" w:cs="Times New Roman"/>
          <w:sz w:val="22"/>
          <w:szCs w:val="22"/>
        </w:rPr>
        <w:t>Figure 1. Proposed conceptual framework and hypothesized relationships.</w:t>
      </w:r>
      <w:r>
        <w:rPr>
          <w:rStyle w:val="20"/>
          <w:rFonts w:hint="default" w:ascii="Times New Roman" w:hAnsi="Times New Roman" w:cs="Times New Roman"/>
          <w:sz w:val="22"/>
          <w:szCs w:val="22"/>
        </w:rPr>
        <w:br w:type="textWrapping"/>
      </w:r>
      <w:r>
        <w:rPr>
          <w:rStyle w:val="20"/>
          <w:rFonts w:hint="default" w:ascii="Times New Roman" w:hAnsi="Times New Roman" w:cs="Times New Roman"/>
          <w:sz w:val="22"/>
          <w:szCs w:val="22"/>
        </w:rPr>
        <w:br w:type="textWrapping"/>
      </w:r>
      <w:r>
        <w:rPr>
          <w:rFonts w:hint="default" w:ascii="Times New Roman" w:hAnsi="Times New Roman" w:cs="Times New Roman"/>
          <w:sz w:val="22"/>
          <w:szCs w:val="22"/>
          <w:lang w:val="en-US"/>
        </w:rPr>
        <w:drawing>
          <wp:inline distT="0" distB="0" distL="114300" distR="114300">
            <wp:extent cx="6406515" cy="3643630"/>
            <wp:effectExtent l="0" t="0" r="13335" b="13970"/>
            <wp:docPr id="7" name="Picture 7" descr="Figure_1_Conceptual_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gure_1_Conceptual_Framework"/>
                    <pic:cNvPicPr>
                      <a:picLocks noChangeAspect="1"/>
                    </pic:cNvPicPr>
                  </pic:nvPicPr>
                  <pic:blipFill>
                    <a:blip r:embed="rId5"/>
                    <a:stretch>
                      <a:fillRect/>
                    </a:stretch>
                  </pic:blipFill>
                  <pic:spPr>
                    <a:xfrm>
                      <a:off x="0" y="0"/>
                      <a:ext cx="6406515" cy="3643630"/>
                    </a:xfrm>
                    <a:prstGeom prst="rect">
                      <a:avLst/>
                    </a:prstGeom>
                  </pic:spPr>
                </pic:pic>
              </a:graphicData>
            </a:graphic>
          </wp:inline>
        </w:drawing>
      </w:r>
      <w:bookmarkStart w:id="0" w:name="_GoBack"/>
      <w:bookmarkEnd w:id="0"/>
    </w:p>
    <w:p w14:paraId="5DD94B66">
      <w:pPr>
        <w:pStyle w:val="19"/>
        <w:keepNext w:val="0"/>
        <w:keepLines w:val="0"/>
        <w:widowControl/>
        <w:suppressLineNumbers w:val="0"/>
        <w:rPr>
          <w:rFonts w:hint="default" w:ascii="Times New Roman" w:hAnsi="Times New Roman" w:cs="Times New Roman"/>
          <w:sz w:val="22"/>
          <w:szCs w:val="22"/>
        </w:rPr>
      </w:pPr>
      <w:r>
        <w:rPr>
          <w:rStyle w:val="11"/>
          <w:rFonts w:hint="default" w:ascii="Times New Roman" w:hAnsi="Times New Roman" w:cs="Times New Roman"/>
          <w:sz w:val="22"/>
          <w:szCs w:val="22"/>
        </w:rPr>
        <w:t>Note.</w:t>
      </w:r>
      <w:r>
        <w:rPr>
          <w:rFonts w:hint="default" w:ascii="Times New Roman" w:hAnsi="Times New Roman" w:cs="Times New Roman"/>
          <w:sz w:val="22"/>
          <w:szCs w:val="22"/>
        </w:rPr>
        <w:t xml:space="preserve"> H1–H7 represent the seven hypothesized direct relationships. The four specific indirect pathways are assessed through the corresponding component paths.</w:t>
      </w:r>
    </w:p>
    <w:p w14:paraId="0D17CD83">
      <w:pPr>
        <w:pStyle w:val="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1.8 Significance and Scope of the Study</w:t>
      </w:r>
    </w:p>
    <w:p w14:paraId="765AC5D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This study examines the relationships among objective financial literacy, digital financial behavior, financial management behavior, impulsive spending, social influence, and future financial orientation among higher-education students in Bangladesh. Using a quantitative, cross-sectional survey of 537 respondents for the primary structural analysis, the study combines PLS-SEM with supplementary discipline-wise comparisons, sensitivity analysis, and predictive assessment. The findings may inform future research and student-oriented financial education, although they do not establish causal effects or national representativeness.</w:t>
      </w:r>
    </w:p>
    <w:p w14:paraId="13554D63">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study focuses on reported financial behaviors and stated future financial preferences rather than actual long-term wealth accumulation, realized savings amounts, or investment performance. Future Financial Orientation (FFO) is measured using a single survey item and should therefore be interpreted as a limited indicator of stated preference for future financial security.</w:t>
      </w:r>
    </w:p>
    <w:p w14:paraId="0D3B6DA7">
      <w:pPr>
        <w:pStyle w:val="6"/>
        <w:keepNext w:val="0"/>
        <w:keepLines w:val="0"/>
        <w:widowControl/>
        <w:suppressLineNumbers w:val="0"/>
        <w:rPr>
          <w:sz w:val="22"/>
          <w:szCs w:val="22"/>
        </w:rPr>
      </w:pPr>
      <w:r>
        <w:rPr>
          <w:sz w:val="22"/>
          <w:szCs w:val="22"/>
        </w:rPr>
        <w:t>1.9 Scope of the Study</w:t>
      </w:r>
    </w:p>
    <w:p w14:paraId="1CA77573">
      <w:pPr>
        <w:pStyle w:val="19"/>
        <w:keepNext w:val="0"/>
        <w:keepLines w:val="0"/>
        <w:widowControl/>
        <w:suppressLineNumbers w:val="0"/>
        <w:rPr>
          <w:sz w:val="22"/>
          <w:szCs w:val="22"/>
        </w:rPr>
      </w:pPr>
      <w:r>
        <w:rPr>
          <w:sz w:val="22"/>
          <w:szCs w:val="22"/>
        </w:rPr>
        <w:t>This study examines six dimensions of student financial behavior in Bangladesh: objective financial literacy, digital financial behavior, financial management behavior, impulsive spending, social influence, and future financial orientation. Its scope is limited to reported financial behaviors and stated financial preferences. It does not measure actual long-term wealth accumulation, realized savings, investment performance, or causal behavioral change. Future financial orientation (FFO) is measured using a single survey item reflecting respondents’ preference for future financial security over immediate consumption, rather than a comprehensive measure of future orientation.</w:t>
      </w:r>
    </w:p>
    <w:p w14:paraId="2BB36D85">
      <w:pPr>
        <w:pStyle w:val="5"/>
        <w:bidi w:val="0"/>
        <w:rPr>
          <w:rFonts w:hint="default"/>
        </w:rPr>
      </w:pPr>
      <w:r>
        <w:rPr>
          <w:rFonts w:hint="default"/>
        </w:rPr>
        <w:br w:type="textWrapping"/>
      </w:r>
      <w:r>
        <w:rPr>
          <w:rFonts w:hint="default"/>
        </w:rPr>
        <w:br w:type="textWrapping"/>
      </w:r>
      <w:r>
        <w:rPr>
          <w:rFonts w:hint="default"/>
        </w:rPr>
        <w:t>2. LITERATURE REVIEW AND HYPOTHESIS DEVELOPMENT</w:t>
      </w:r>
    </w:p>
    <w:p w14:paraId="286B8A54">
      <w:pPr>
        <w:pStyle w:val="6"/>
        <w:bidi w:val="0"/>
        <w:rPr>
          <w:rFonts w:hint="default"/>
        </w:rPr>
      </w:pPr>
      <w:r>
        <w:rPr>
          <w:rFonts w:hint="default"/>
        </w:rPr>
        <w:t>2.1 Introduction</w:t>
      </w:r>
    </w:p>
    <w:p w14:paraId="0435CDF1">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Financial literacy, digital financial services, and consumer spending have become increasingly interconnected areas of research. Higher-education students provide a relevant context for examining these relationships because they encounter everyday financial decisions involving limited resources, digital transactions, consumption, and future financial security.</w:t>
      </w:r>
    </w:p>
    <w:p w14:paraId="21EAA348">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Financial knowledge, however, does not necessarily translate into consistent financial-management practices. Digital payment convenience and social or promotional influences may also be associated with spending decisions. Understanding student financial behavior therefore requires consideration of cognitive, behavioral, digital, and social dimensions.</w:t>
      </w:r>
    </w:p>
    <w:p w14:paraId="4D3C98B3">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This study integrates six constructs—financial literacy (FL), digital financial behavior (DFB), financial management behavior (FMB), impulsive spending behavior (ISB), social influence (SI), and future financial orientation (FFO)—within a single structural framework. The following sections develop the theoretical rationale, review relevant international and Bangladesh-focused evidence, and establish seven direct hypotheses and four specific indirect relationships.</w:t>
      </w:r>
    </w:p>
    <w:p w14:paraId="09742431">
      <w:pPr>
        <w:pStyle w:val="6"/>
        <w:bidi w:val="0"/>
        <w:rPr>
          <w:rFonts w:hint="default"/>
        </w:rPr>
      </w:pPr>
      <w:r>
        <w:rPr>
          <w:rFonts w:hint="default"/>
        </w:rPr>
        <w:t>2.2 Theoretical Foundations</w:t>
      </w:r>
    </w:p>
    <w:p w14:paraId="6EE464A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study draws on three complementary theoretical perspectives: human capital theory, mental accounting, and the Theory of Planned Behavior. These perspectives provide a rationale for the proposed relationships among financial literacy, digital financial behavior, financial management behavior, impulsive spending, social influence, and future financial orientation. They are used as interpretive foundations rather than as a single comprehensive theory tested in full.</w:t>
      </w:r>
      <w:r>
        <w:rPr>
          <w:rFonts w:hint="default" w:ascii="Times New Roman" w:hAnsi="Times New Roman" w:cs="Times New Roman"/>
          <w:sz w:val="22"/>
          <w:szCs w:val="22"/>
        </w:rPr>
        <w:br w:type="textWrapping"/>
      </w:r>
      <w:r>
        <w:rPr>
          <w:rFonts w:hint="default" w:ascii="Times New Roman" w:hAnsi="Times New Roman" w:cs="Times New Roman"/>
          <w:sz w:val="22"/>
          <w:szCs w:val="22"/>
        </w:rPr>
        <w:br w:type="textWrapping"/>
      </w:r>
      <w:r>
        <w:rPr>
          <w:rFonts w:hint="default" w:ascii="Times New Roman" w:hAnsi="Times New Roman" w:cs="Times New Roman"/>
          <w:sz w:val="22"/>
          <w:szCs w:val="22"/>
        </w:rPr>
        <w:t>Taken together, the theoretical perspectives inform different parts of the proposed model rather than providing interchangeable explanations for all relationships. Financial literacy represents objective financial knowledge, whereas financial management behavior captures reported practices such as planning, expenditure monitoring, and saving. Digital financial behavior reflects engagement with digital transactions and the perceived spending implications of payment convenience. Social influence captures interpersonal and digitally mediated influences on spending decisions. The model consequently considers both the potentially beneficial association of financial-management practices with future financial orientation and the potentially adverse association of impulsive spending with that orientation. These theoretical arguments motivate the hypothesized relationships, while their directions and statistical support remain subject to empirical testing.</w:t>
      </w:r>
    </w:p>
    <w:p w14:paraId="7F863E77">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2.2.1 Financial Literacy as Human Capital</w:t>
      </w:r>
    </w:p>
    <w:p w14:paraId="04326793">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Human capital theory treats knowledge and skills as resources relevant to individual decision-making. In personal finance, objective knowledge of purchasing power, interest, inflation, investment diversification, and debt costs may help individuals evaluate financial choices. Lusardi and Mitchell (2014) discuss the importance of financial literacy for economic decision-making across the life cycle.</w:t>
      </w:r>
    </w:p>
    <w:p w14:paraId="64D437C5">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However, financial knowledge and its practical application are distinct. Knowledge may support financial decision-making without ensuring consistent expense planning, expenditure monitoring, or saving. This distinction provides the rationale for examining financial literacy in relation to financial management behavior and future financial orientation as separate outcomes. The study tests these associations empirically rather than assuming that greater financial knowledge necessarily produces stronger future-oriented preferences.</w:t>
      </w:r>
    </w:p>
    <w:p w14:paraId="158AC9CF">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2.2.2 Mental Accounting and Payment-Related Behavior</w:t>
      </w:r>
    </w:p>
    <w:p w14:paraId="4CE4278F">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Mental accounting concerns how individuals categorize and evaluate financial resources and transactions (Thaler, 1985). Payment-related convenience may be relevant to spending decisions because the experience of making a transaction can differ across payment methods. Previous research on digital payments and consumer purchasing provides context for examining these relationships (Li &amp; Ruan, 2024; Faraz &amp; Anjum, 2025; Karmaker et al., 2025).</w:t>
      </w:r>
    </w:p>
    <w:p w14:paraId="674A044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In the present study, mental accounting provides an interpretive perspective for examining the associations of digital financial behavior with financial management behavior and impulsive spending. However, the questionnaire does not directly measure mental-accounting processes, transaction salience, or psychological discomfort associated with payment. The theory therefore motivates the research question but does not establish a tested mechanism within the model.</w:t>
      </w:r>
      <w:r>
        <w:rPr>
          <w:rFonts w:hint="default" w:ascii="Times New Roman" w:hAnsi="Times New Roman" w:cs="Times New Roman"/>
          <w:sz w:val="22"/>
          <w:szCs w:val="22"/>
        </w:rPr>
        <w:br w:type="textWrapping"/>
      </w:r>
    </w:p>
    <w:p w14:paraId="11284DF2">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2.2.3 Social Influence and Behavioral Decision-Making</w:t>
      </w:r>
    </w:p>
    <w:p w14:paraId="5D2B8AA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Theory of Planned Behavior identifies subjective norms, among other factors, as relevant to behavioral intentions (Ajzen, 1991). Research on financial socialization also highlights the relevance of social agents and experiences to financial development (Sohn et al., 2012). These perspectives support examining whether social and external influences are associated with students’ spending tendencies.</w:t>
      </w:r>
    </w:p>
    <w:p w14:paraId="0CA546F2">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study’s social influence construct includes peer-related lifestyle influence, status-related expenditure, and digitally mediated promotional stimuli. It therefore extends beyond interpersonal peer pressure alone. Because the model does not measure all components of the Theory of Planned Behavior, nor isolate each type of social or promotional influence, the findings should not be interpreted as a comprehensive test of that theory. Instead, the theoretical perspectives provide a rationale for the specified associations, which are assessed using the observed survey measures.</w:t>
      </w:r>
    </w:p>
    <w:p w14:paraId="28EE17C3">
      <w:pPr>
        <w:pStyle w:val="6"/>
        <w:bidi w:val="0"/>
        <w:rPr>
          <w:rFonts w:hint="default"/>
        </w:rPr>
      </w:pPr>
      <w:r>
        <w:rPr>
          <w:rFonts w:hint="default"/>
        </w:rPr>
        <w:t>2.3 Financial Literacy and Financial Behavior</w:t>
      </w:r>
    </w:p>
    <w:p w14:paraId="15731471">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Financial literacy concerns the knowledge needed to understand financial concepts and evaluate financial choices. Lusardi and Mitchell (2014) emphasize its importance for economic decision-making, while the OECD/INFE (2023) framework distinguishes financial knowledge, behavior, and attitudes within the broader assessment of financial literacy.</w:t>
      </w:r>
    </w:p>
    <w:p w14:paraId="5105E292">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Bangladesh-focused research demonstrates the relevance of financial literacy among university students. Aktar (2023) examined financial literacy and financial inclusion among 360 students at Jagannath University. The study reported limited adequate financial literacy and identified several educational and behavioral characteristics associated with literacy levels. Khan and Rabbani (2025) further showed that general financial literacy and debt literacy had different associations with students' investment and borrowing behavior.</w:t>
      </w:r>
    </w:p>
    <w:p w14:paraId="350EF042">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These studies provide context for examining objective financial knowledge in Bangladesh, but their principal outcomes differ from the FMB and FFO constructs used here. The present study therefore distinguishes financial literacy from reported financial practices and future-oriented preferences.</w:t>
      </w:r>
    </w:p>
    <w:p w14:paraId="23422FBA">
      <w:pPr>
        <w:pStyle w:val="5"/>
        <w:bidi w:val="0"/>
        <w:spacing w:before="0" w:after="140" w:line="276" w:lineRule="auto"/>
        <w:jc w:val="left"/>
        <w:rPr>
          <w:rFonts w:hint="default" w:ascii="Times New Roman" w:hAnsi="Times New Roman" w:cs="Times New Roman"/>
          <w:b/>
          <w:bCs/>
          <w:sz w:val="22"/>
          <w:szCs w:val="22"/>
        </w:rPr>
      </w:pPr>
      <w:r>
        <w:rPr>
          <w:rFonts w:hint="default" w:ascii="Times New Roman" w:hAnsi="Times New Roman" w:cs="Times New Roman"/>
          <w:b/>
          <w:bCs/>
          <w:sz w:val="22"/>
          <w:szCs w:val="22"/>
        </w:rPr>
        <w:t>2.4 Digital Financial Behavior</w:t>
      </w:r>
    </w:p>
    <w:p w14:paraId="2AE50C2C">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Digital financial services, including mobile financial services, payment applications, banking applications, and cards, facilitate everyday transactions. Their implications extend beyond technology adoption to how individuals conduct and experience financial activities.</w:t>
      </w:r>
    </w:p>
    <w:p w14:paraId="13D4D412">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Hazra and Priyo (2021) examined mobile financial services in Bangladesh through an affordance-theory perspective. Their qualitative findings highlighted how users employ these services to accomplish everyday goals within their social contexts. Kabir and Alam (2024) investigated attitudes and intentions toward mobile financial services among 317 Bangladeshi university students, focusing primarily on adoption-related perceptions and usability.</w:t>
      </w:r>
    </w:p>
    <w:p w14:paraId="0AA3A358">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More recently, Karmaker et al. (2025) examined factors associated with digital-payment app adoption and consumer purchasing behavior in Bangladesh. Together with international research on digital payments and consumption (Li &amp; Ruan, 2024), this evidence suggests that digital financial services warrant examination in relation to everyday financial behavior, not merely adoption intentions.</w:t>
      </w:r>
    </w:p>
    <w:p w14:paraId="161A517A">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However, access to digital payments does not necessarily imply better financial management or greater spending control. The present study operationalizes DFB using three indicators concerning digital transaction-related behavior and payment-related convenience. It is therefore narrower than comprehensive digital financial literacy, technological adoption, or the overall use of financial services.</w:t>
      </w:r>
    </w:p>
    <w:p w14:paraId="1C6C5143">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The analysis examines whether DFB is associated with both FMB and ISB, allowing potentially contrasting behavioral relationships to be assessed within the same framework.</w:t>
      </w:r>
    </w:p>
    <w:p w14:paraId="0F3A195A">
      <w:pPr>
        <w:pStyle w:val="6"/>
        <w:bidi w:val="0"/>
        <w:rPr>
          <w:rFonts w:hint="default"/>
        </w:rPr>
      </w:pPr>
      <w:r>
        <w:rPr>
          <w:rFonts w:hint="default"/>
        </w:rPr>
        <w:t>2.5 Financial Management Behavior</w:t>
      </w:r>
    </w:p>
    <w:p w14:paraId="5C9A44B4">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Financial management behavior refers to the reported practices through which individuals plan, monitor, and manage financial resources. In this study, FMB is measured through advance expense planning, expenditure monitoring, and efforts to save after meeting necessary expenses.</w:t>
      </w:r>
    </w:p>
    <w:p w14:paraId="3FEF053B">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These practices are distinct from objective financial knowledge. A person may understand financial concepts without consistently applying them to everyday money management. Conversely, practical routines may help individuals organize current expenditure and attend to future financial needs.</w:t>
      </w:r>
    </w:p>
    <w:p w14:paraId="41BEA18A">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The Bangladesh-focused findings of Aktar (2023) and Khan and Rabbani (2025) support the importance of examining student financial knowledge alongside other financial characteristics and outcomes. Nevertheless, the relationship between knowledge and financial-management practices requires direct empirical assessment rather than assumption.</w:t>
      </w:r>
    </w:p>
    <w:p w14:paraId="335C8701">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FMB is consequently modeled both as an outcome associated with FL and DFB and as a predictor of FFO. This specification permits the study to examine whether financial-management practices provide a statistically significant pathway linking financial knowledge or digital financial behavior with future-oriented preferences.</w:t>
      </w:r>
    </w:p>
    <w:p w14:paraId="32FA91F6">
      <w:pPr>
        <w:pStyle w:val="5"/>
        <w:bidi w:val="0"/>
        <w:spacing w:before="0" w:after="140" w:line="276" w:lineRule="auto"/>
        <w:jc w:val="left"/>
        <w:rPr>
          <w:rFonts w:hint="default" w:ascii="Times New Roman" w:hAnsi="Times New Roman" w:cs="Times New Roman"/>
          <w:b/>
          <w:bCs/>
          <w:sz w:val="22"/>
          <w:szCs w:val="22"/>
        </w:rPr>
      </w:pPr>
      <w:r>
        <w:rPr>
          <w:rFonts w:hint="default" w:ascii="Times New Roman" w:hAnsi="Times New Roman" w:cs="Times New Roman"/>
          <w:b/>
          <w:bCs/>
          <w:sz w:val="22"/>
          <w:szCs w:val="22"/>
        </w:rPr>
        <w:t>2.6 Impulsive Spending Behavior</w:t>
      </w:r>
    </w:p>
    <w:p w14:paraId="2A71A53D">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Impulsive spending involves purchasing tendencies characterized by limited deliberation or purchases that depart from prior intentions. Rook (1987) established a foundational behavioral account of impulse buying, while Redine et al. (2023) synthesized the broader literature and identified its development across traditional and online purchasing environments.</w:t>
      </w:r>
    </w:p>
    <w:p w14:paraId="3E5FE1DF">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Digital payments may be relevant because they change the transaction experience and facilitate convenient purchases. Faraz and Anjum (2025) examined the psychological relationship between digital payments and consumer purchasing and impulsive buying. Karmaker et al. (2025) provide complementary evidence from Bangladesh on digital-payment apps and consumer purchasing behavior.</w:t>
      </w:r>
    </w:p>
    <w:p w14:paraId="29E70010">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Social and promotional stimuli may also be associated with impulsive consumption. Promotional offers, lifestyle comparisons, and digital notifications can coincide with purchasing decisions that are not fully aligned with prior spending plans.</w:t>
      </w:r>
    </w:p>
    <w:p w14:paraId="657FD8F2">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In the present study, ISB is measured using indicators concerning promotion-influenced purchases, regret following unnecessary purchases, and expenditure beyond intended budgets. It is modeled as an outcome associated with DFB and SI and as a predictor of FFO.</w:t>
      </w:r>
    </w:p>
    <w:p w14:paraId="1397290C">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Because DFB includes an item concerning spending associated with digital-payment convenience, the DFB and ISB constructs have some conceptual proximity. Their relationships should therefore be interpreted in light of the actual item content rather than as evidence that digital-payment use necessarily causes impulsive buying.</w:t>
      </w:r>
    </w:p>
    <w:p w14:paraId="7A3B1E96">
      <w:pPr>
        <w:pStyle w:val="5"/>
        <w:bidi w:val="0"/>
        <w:spacing w:before="0" w:after="140" w:line="276" w:lineRule="auto"/>
        <w:jc w:val="left"/>
        <w:rPr>
          <w:rFonts w:hint="default" w:ascii="Times New Roman" w:hAnsi="Times New Roman" w:cs="Times New Roman"/>
          <w:b/>
          <w:bCs/>
          <w:sz w:val="22"/>
          <w:szCs w:val="22"/>
        </w:rPr>
      </w:pPr>
      <w:r>
        <w:rPr>
          <w:rFonts w:hint="default" w:ascii="Times New Roman" w:hAnsi="Times New Roman" w:cs="Times New Roman"/>
          <w:b/>
          <w:bCs/>
          <w:sz w:val="22"/>
          <w:szCs w:val="22"/>
        </w:rPr>
        <w:t>2.7 Social Influence</w:t>
      </w:r>
    </w:p>
    <w:p w14:paraId="295368B4">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Social influence concerns the relationship between external social or environmental cues and individuals' financial or consumption decisions. The Theory of Planned Behavior provides a theoretical basis for considering perceived social expectations, while financial-socialization research highlights the relevance of social agents and experiences to financial development (Ajzen, 1991; Sohn et al., 2012).</w:t>
      </w:r>
    </w:p>
    <w:p w14:paraId="4AB1656A">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Among university students, peer-related lifestyles, social-status expenditure, and exposure to promotional information may be associated with consumption decisions. These influences may operate alongside the convenience of digital financial services rather than independently of it.</w:t>
      </w:r>
    </w:p>
    <w:p w14:paraId="2DDB47E8">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The present SI construct covers peer-related lifestyle influence, status-related expenditure, and digital promotional stimuli. This broader operationalization allows the model to assess whether reported susceptibility to these influences is associated with ISB.</w:t>
      </w:r>
    </w:p>
    <w:p w14:paraId="141C930D">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The relationship is examined as a statistical association; it does not establish that social influence causes impulsive spending or isolate the separate effects of peer pressure and promotional exposure.</w:t>
      </w:r>
    </w:p>
    <w:p w14:paraId="67E71735">
      <w:pPr>
        <w:pStyle w:val="5"/>
        <w:bidi w:val="0"/>
        <w:spacing w:before="0" w:after="140" w:line="276" w:lineRule="auto"/>
        <w:jc w:val="left"/>
        <w:rPr>
          <w:rFonts w:hint="default" w:ascii="Times New Roman" w:hAnsi="Times New Roman" w:cs="Times New Roman"/>
          <w:b/>
          <w:bCs/>
          <w:sz w:val="22"/>
          <w:szCs w:val="22"/>
        </w:rPr>
      </w:pPr>
      <w:r>
        <w:rPr>
          <w:rFonts w:hint="default" w:ascii="Times New Roman" w:hAnsi="Times New Roman" w:cs="Times New Roman"/>
          <w:b/>
          <w:bCs/>
          <w:sz w:val="22"/>
          <w:szCs w:val="22"/>
        </w:rPr>
        <w:t>2.8 Future Financial Orientation</w:t>
      </w:r>
    </w:p>
    <w:p w14:paraId="1C4368DA">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FFO is defined here as a respondent's stated preference for future financial security over immediate consumption desires. It is conceptually related to how individuals evaluate present spending in relation to longer-term financial priorities.</w:t>
      </w:r>
    </w:p>
    <w:p w14:paraId="1B81C125">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Financial-management practices such as expense planning, expenditure monitoring, and saving efforts are consistent with attention to future financial security. In contrast, stronger impulsive spending tendencies may coincide with a greater emphasis on immediate purchasing opportunities.</w:t>
      </w:r>
    </w:p>
    <w:p w14:paraId="1B0492EB">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The present study represents FFO using one survey item (Q26). It therefore captures a specific stated preference rather than a comprehensive multidimensional measure of future orientation. It also does not measure actual savings balances, accumulated wealth, investment performance, or realized long-term financial outcomes.</w:t>
      </w:r>
    </w:p>
    <w:p w14:paraId="60B547D7">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Accordingly, FMB and ISB are examined as behavioral constructs associated with this stated preference, without assuming that they determine future financial outcomes.</w:t>
      </w:r>
    </w:p>
    <w:p w14:paraId="50EBA76B">
      <w:pPr>
        <w:pStyle w:val="6"/>
        <w:bidi w:val="0"/>
        <w:rPr>
          <w:rFonts w:hint="default"/>
        </w:rPr>
      </w:pPr>
      <w:r>
        <w:rPr>
          <w:rFonts w:hint="default"/>
        </w:rPr>
        <w:t>2.9 Hypothesis Development</w:t>
      </w:r>
    </w:p>
    <w:p w14:paraId="01FC76F2">
      <w:pPr>
        <w:pStyle w:val="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2.9.1 Digital Financial Behavior and Financial Management Behavior</w:t>
      </w:r>
    </w:p>
    <w:p w14:paraId="4BCDAEFE">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Digital financial services facilitate everyday transactions and may support routine financial activities. However, transaction convenience does not necessarily translate into effective budgeting or saving. The relationship between digital financial behavior and financial management behavior therefore requires empirical examination.</w:t>
      </w:r>
    </w:p>
    <w:p w14:paraId="70676749">
      <w:pPr>
        <w:pStyle w:val="19"/>
        <w:keepNext w:val="0"/>
        <w:keepLines w:val="0"/>
        <w:widowControl/>
        <w:suppressLineNumbers w:val="0"/>
        <w:rPr>
          <w:rFonts w:hint="default" w:ascii="Times New Roman" w:hAnsi="Times New Roman" w:cs="Times New Roman"/>
          <w:sz w:val="22"/>
          <w:szCs w:val="22"/>
        </w:rPr>
      </w:pPr>
      <w:r>
        <w:rPr>
          <w:rStyle w:val="20"/>
          <w:rFonts w:hint="default" w:ascii="Times New Roman" w:hAnsi="Times New Roman" w:cs="Times New Roman"/>
          <w:sz w:val="22"/>
          <w:szCs w:val="22"/>
        </w:rPr>
        <w:t>H1:</w:t>
      </w:r>
      <w:r>
        <w:rPr>
          <w:rFonts w:hint="default" w:ascii="Times New Roman" w:hAnsi="Times New Roman" w:cs="Times New Roman"/>
          <w:sz w:val="22"/>
          <w:szCs w:val="22"/>
        </w:rPr>
        <w:t xml:space="preserve"> Digital financial behavior is positively associated with financial management behavior.</w:t>
      </w:r>
    </w:p>
    <w:p w14:paraId="596EADBE">
      <w:pPr>
        <w:pStyle w:val="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2.9.2 Digital Financial Behavior and Impulsive Spending Behavior</w:t>
      </w:r>
    </w:p>
    <w:p w14:paraId="1D67E4B8">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Digital payment convenience may reduce transaction friction, while promotional stimuli may encourage less deliberate purchasing. Previous research on digital payments and consumer spending provides a basis for examining this relationship (Li &amp; Ruan, 2024; Faraz &amp; Anjum, 2025; Karmaker et al., 2025). Nevertheless, the present study evaluates an association rather than a causal payment effect.</w:t>
      </w:r>
    </w:p>
    <w:p w14:paraId="79853DCA">
      <w:pPr>
        <w:pStyle w:val="19"/>
        <w:keepNext w:val="0"/>
        <w:keepLines w:val="0"/>
        <w:widowControl/>
        <w:suppressLineNumbers w:val="0"/>
        <w:rPr>
          <w:rFonts w:hint="default" w:ascii="Times New Roman" w:hAnsi="Times New Roman" w:cs="Times New Roman"/>
          <w:sz w:val="22"/>
          <w:szCs w:val="22"/>
        </w:rPr>
      </w:pPr>
      <w:r>
        <w:rPr>
          <w:rStyle w:val="20"/>
          <w:rFonts w:hint="default" w:ascii="Times New Roman" w:hAnsi="Times New Roman" w:cs="Times New Roman"/>
          <w:sz w:val="22"/>
          <w:szCs w:val="22"/>
        </w:rPr>
        <w:t>H2:</w:t>
      </w:r>
      <w:r>
        <w:rPr>
          <w:rFonts w:hint="default" w:ascii="Times New Roman" w:hAnsi="Times New Roman" w:cs="Times New Roman"/>
          <w:sz w:val="22"/>
          <w:szCs w:val="22"/>
        </w:rPr>
        <w:t xml:space="preserve"> Digital financial behavior is positively associated with impulsive spending behavior.</w:t>
      </w:r>
    </w:p>
    <w:p w14:paraId="10FB6B2D">
      <w:pPr>
        <w:pStyle w:val="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2.9.3 Financial Literacy and Financial Management Behavior</w:t>
      </w:r>
    </w:p>
    <w:p w14:paraId="5F4EA03E">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Objective financial knowledge may support informed financial decisions concerning interest, inflation, debt, and expenditure. Human capital theory provides a rationale for expecting financial knowledge to be associated with financial-management practices (Lusardi &amp; Mitchell, 2014), although knowledge alone does not guarantee consistent implementation.</w:t>
      </w:r>
    </w:p>
    <w:p w14:paraId="3661B1B0">
      <w:pPr>
        <w:pStyle w:val="19"/>
        <w:keepNext w:val="0"/>
        <w:keepLines w:val="0"/>
        <w:widowControl/>
        <w:suppressLineNumbers w:val="0"/>
        <w:rPr>
          <w:rFonts w:hint="default" w:ascii="Times New Roman" w:hAnsi="Times New Roman" w:cs="Times New Roman"/>
          <w:sz w:val="22"/>
          <w:szCs w:val="22"/>
        </w:rPr>
      </w:pPr>
      <w:r>
        <w:rPr>
          <w:rStyle w:val="20"/>
          <w:rFonts w:hint="default" w:ascii="Times New Roman" w:hAnsi="Times New Roman" w:cs="Times New Roman"/>
          <w:sz w:val="22"/>
          <w:szCs w:val="22"/>
        </w:rPr>
        <w:t>H3:</w:t>
      </w:r>
      <w:r>
        <w:rPr>
          <w:rFonts w:hint="default" w:ascii="Times New Roman" w:hAnsi="Times New Roman" w:cs="Times New Roman"/>
          <w:sz w:val="22"/>
          <w:szCs w:val="22"/>
        </w:rPr>
        <w:t xml:space="preserve"> Financial literacy is positively associated with financial management behavior.</w:t>
      </w:r>
    </w:p>
    <w:p w14:paraId="7D69303D">
      <w:pPr>
        <w:pStyle w:val="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2.9.4 Financial Literacy and Future Financial Orientation</w:t>
      </w:r>
    </w:p>
    <w:p w14:paraId="3AE0B9A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Financial literacy may help individuals evaluate financial trade-offs and consider future security. However, objective knowledge does not necessarily translate into future-oriented preferences. This study therefore examines both the direct association between financial literacy and future financial orientation and the proposed indirect relationship through financial management behavior.</w:t>
      </w:r>
    </w:p>
    <w:p w14:paraId="2FB72F10">
      <w:pPr>
        <w:pStyle w:val="19"/>
        <w:keepNext w:val="0"/>
        <w:keepLines w:val="0"/>
        <w:widowControl/>
        <w:suppressLineNumbers w:val="0"/>
        <w:rPr>
          <w:rFonts w:hint="default" w:ascii="Times New Roman" w:hAnsi="Times New Roman" w:cs="Times New Roman"/>
          <w:sz w:val="22"/>
          <w:szCs w:val="22"/>
        </w:rPr>
      </w:pPr>
      <w:r>
        <w:rPr>
          <w:rStyle w:val="20"/>
          <w:rFonts w:hint="default" w:ascii="Times New Roman" w:hAnsi="Times New Roman" w:cs="Times New Roman"/>
          <w:sz w:val="22"/>
          <w:szCs w:val="22"/>
        </w:rPr>
        <w:t>H4:</w:t>
      </w:r>
      <w:r>
        <w:rPr>
          <w:rFonts w:hint="default" w:ascii="Times New Roman" w:hAnsi="Times New Roman" w:cs="Times New Roman"/>
          <w:sz w:val="22"/>
          <w:szCs w:val="22"/>
        </w:rPr>
        <w:t xml:space="preserve"> Financial literacy is positively associated with future financial orientation.</w:t>
      </w:r>
    </w:p>
    <w:p w14:paraId="50E4ABFF">
      <w:pPr>
        <w:pStyle w:val="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2.9.5 Financial Management Behavior and Future Financial Orientation</w:t>
      </w:r>
    </w:p>
    <w:p w14:paraId="40871D1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Expense planning, expenditure monitoring, and saving practices reflect attention to financial needs beyond immediate consumption. These practices may therefore be associated with a stronger preference for future financial security. Since FFO is measured by a single stated-preference item, the relationship concerns a reported financial preference rather than realized long-term financial outcomes.</w:t>
      </w:r>
    </w:p>
    <w:p w14:paraId="620D5C09">
      <w:pPr>
        <w:pStyle w:val="19"/>
        <w:keepNext w:val="0"/>
        <w:keepLines w:val="0"/>
        <w:widowControl/>
        <w:suppressLineNumbers w:val="0"/>
        <w:rPr>
          <w:rFonts w:hint="default" w:ascii="Times New Roman" w:hAnsi="Times New Roman" w:cs="Times New Roman"/>
          <w:sz w:val="22"/>
          <w:szCs w:val="22"/>
        </w:rPr>
      </w:pPr>
      <w:r>
        <w:rPr>
          <w:rStyle w:val="20"/>
          <w:rFonts w:hint="default" w:ascii="Times New Roman" w:hAnsi="Times New Roman" w:cs="Times New Roman"/>
          <w:sz w:val="22"/>
          <w:szCs w:val="22"/>
        </w:rPr>
        <w:t>H5:</w:t>
      </w:r>
      <w:r>
        <w:rPr>
          <w:rFonts w:hint="default" w:ascii="Times New Roman" w:hAnsi="Times New Roman" w:cs="Times New Roman"/>
          <w:sz w:val="22"/>
          <w:szCs w:val="22"/>
        </w:rPr>
        <w:t xml:space="preserve"> Financial management behavior is positively associated with future financial orientation.</w:t>
      </w:r>
    </w:p>
    <w:p w14:paraId="4A00F6E5">
      <w:pPr>
        <w:pStyle w:val="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2.9.6 Impulsive Spending Behavior and Future Financial Orientation</w:t>
      </w:r>
    </w:p>
    <w:p w14:paraId="73F12942">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Unplanned purchases and expenditure beyond intended budgets may conflict with future-oriented financial priorities. Previous research on impulsive buying provides a basis for examining this relationship (Rook, 1987; Redine et al., 2023). Whether impulsive spending is negatively associated with the stated preference for future financial security remains an empirical question.</w:t>
      </w:r>
    </w:p>
    <w:p w14:paraId="053779BF">
      <w:pPr>
        <w:pStyle w:val="19"/>
        <w:keepNext w:val="0"/>
        <w:keepLines w:val="0"/>
        <w:widowControl/>
        <w:suppressLineNumbers w:val="0"/>
        <w:rPr>
          <w:rFonts w:hint="default" w:ascii="Times New Roman" w:hAnsi="Times New Roman" w:cs="Times New Roman"/>
          <w:sz w:val="22"/>
          <w:szCs w:val="22"/>
        </w:rPr>
      </w:pPr>
      <w:r>
        <w:rPr>
          <w:rStyle w:val="20"/>
          <w:rFonts w:hint="default" w:ascii="Times New Roman" w:hAnsi="Times New Roman" w:cs="Times New Roman"/>
          <w:sz w:val="22"/>
          <w:szCs w:val="22"/>
        </w:rPr>
        <w:t>H6:</w:t>
      </w:r>
      <w:r>
        <w:rPr>
          <w:rFonts w:hint="default" w:ascii="Times New Roman" w:hAnsi="Times New Roman" w:cs="Times New Roman"/>
          <w:sz w:val="22"/>
          <w:szCs w:val="22"/>
        </w:rPr>
        <w:t xml:space="preserve"> Impulsive spending behavior is negatively associated with future financial orientation.</w:t>
      </w:r>
    </w:p>
    <w:p w14:paraId="1E0D3672">
      <w:pPr>
        <w:pStyle w:val="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2.9.7 Social Influence and Impulsive Spending Behavior</w:t>
      </w:r>
    </w:p>
    <w:p w14:paraId="3029068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Theory of Planned Behavior highlights the relevance of perceived social expectations to behavioral intentions (Ajzen, 1991), while financial-socialization research provides broader context for understanding social influences on financial behavior (Sohn et al., 2012). Peer-related lifestyle, status considerations, and digital promotional stimuli may be associated with impulsive spending. Accordingly, this hypothesis concerns the overall SI construct rather than peer pressure alone.</w:t>
      </w:r>
    </w:p>
    <w:p w14:paraId="2E3F61BA">
      <w:pPr>
        <w:pStyle w:val="19"/>
        <w:keepNext w:val="0"/>
        <w:keepLines w:val="0"/>
        <w:widowControl/>
        <w:suppressLineNumbers w:val="0"/>
        <w:rPr>
          <w:rFonts w:hint="default" w:ascii="Times New Roman" w:hAnsi="Times New Roman" w:cs="Times New Roman"/>
          <w:sz w:val="22"/>
          <w:szCs w:val="22"/>
        </w:rPr>
      </w:pPr>
      <w:r>
        <w:rPr>
          <w:rStyle w:val="20"/>
          <w:rFonts w:hint="default" w:ascii="Times New Roman" w:hAnsi="Times New Roman" w:cs="Times New Roman"/>
          <w:sz w:val="22"/>
          <w:szCs w:val="22"/>
        </w:rPr>
        <w:t>H7:</w:t>
      </w:r>
      <w:r>
        <w:rPr>
          <w:rFonts w:hint="default" w:ascii="Times New Roman" w:hAnsi="Times New Roman" w:cs="Times New Roman"/>
          <w:sz w:val="22"/>
          <w:szCs w:val="22"/>
        </w:rPr>
        <w:t xml:space="preserve"> Social influence is positively associated with impulsive spending behavior.</w:t>
      </w:r>
    </w:p>
    <w:p w14:paraId="3C618B93">
      <w:pPr>
        <w:pStyle w:val="6"/>
        <w:bidi w:val="0"/>
        <w:rPr>
          <w:rFonts w:hint="default"/>
        </w:rPr>
      </w:pPr>
      <w:r>
        <w:rPr>
          <w:rFonts w:hint="default"/>
        </w:rPr>
        <w:br w:type="textWrapping"/>
      </w:r>
      <w:r>
        <w:rPr>
          <w:rFonts w:hint="default"/>
        </w:rPr>
        <w:br w:type="textWrapping"/>
      </w:r>
      <w:r>
        <w:rPr>
          <w:rFonts w:hint="default"/>
        </w:rPr>
        <w:t>2.10 Proposed Specific Indirect Relationships</w:t>
      </w:r>
    </w:p>
    <w:p w14:paraId="00BC3A9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model examines four specific indirect associations with future financial orientation (FFO), through financial management behavior (FMB) or impulsive spending behavior (ISB). Given the cross-sectional design, these indirect effects are interpreted as statistical associations rather than evidence of temporal or causal mediation.</w:t>
      </w:r>
    </w:p>
    <w:p w14:paraId="43C4FC8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First, social influence (SI) may be indirectly associated with FFO through ISB. The proposed pathway suggests that social and promotional influences may coincide with greater impulsive spending, which is expected to be negatively associated with future financial orientation.</w:t>
      </w:r>
    </w:p>
    <w:p w14:paraId="203098A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Second, digital financial behavior (DFB) may be indirectly associated with FFO through ISB. This pathway examines whether digital transaction-related behavior and payment-related convenience are associated with future financial preferences through impulsive spending. Interpretation requires caution because DFB and ISB contain related spending content.</w:t>
      </w:r>
    </w:p>
    <w:p w14:paraId="56983D3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Third, DFB may be indirectly associated with FFO through FMB. This pathway assesses whether digital financial behavior is associated with financial-management practices that, in turn, relate to future-oriented financial preferences. The direction and magnitude of this indirect association remain empirical questions.</w:t>
      </w:r>
    </w:p>
    <w:p w14:paraId="4DE4DA05">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Fourth, financial literacy (FL) may be indirectly associated with FFO through FMB. This pathway examines whether objective financial knowledge is associated with future financial preferences through expense planning, expenditure monitoring, and saving practices. A significant indirect association may coexist with a nonsignificant direct relationship, but does not establish causality.</w:t>
      </w:r>
    </w:p>
    <w:p w14:paraId="1632246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All four specific indirect effects are evaluated using bootstrapping and confidence intervals, independently of the direct effects. Their interpretation considers the specified constructs and the limitations of the cross-sectional design.</w:t>
      </w:r>
    </w:p>
    <w:p w14:paraId="6B1AADBF">
      <w:pPr>
        <w:pStyle w:val="4"/>
        <w:bidi w:val="0"/>
        <w:spacing w:before="0" w:after="140" w:line="276" w:lineRule="auto"/>
        <w:jc w:val="left"/>
        <w:rPr>
          <w:rFonts w:hint="default" w:ascii="Times New Roman" w:hAnsi="Times New Roman" w:cs="Times New Roman"/>
          <w:sz w:val="22"/>
          <w:szCs w:val="22"/>
        </w:rPr>
      </w:pPr>
    </w:p>
    <w:p w14:paraId="52F95459">
      <w:pPr>
        <w:pStyle w:val="6"/>
        <w:bidi w:val="0"/>
        <w:rPr>
          <w:rFonts w:hint="default"/>
        </w:rPr>
      </w:pPr>
      <w:r>
        <w:rPr>
          <w:rFonts w:hint="default"/>
        </w:rPr>
        <w:t>2.11 Summary of the Research Gap and Proposed Model</w:t>
      </w:r>
    </w:p>
    <w:p w14:paraId="6F694DCE">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preceding review provides the conceptual basis for examining financial literacy, digital financial behavior, financial management behavior, impulsive spending behavior, social influence, and future financial orientation within an integrated framework. The proposed model brings these dimensions together to assess seven direct relationships and four specific indirect relationships among higher-education students in Bangladesh.</w:t>
      </w:r>
    </w:p>
    <w:p w14:paraId="180EED6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model distinguishes objective financial knowledge from reported financial practices and examines whether digital financial behavior is associated with both financial management and impulsive spending. It further considers the relationships of financial management and impulsive spending with future financial orientation, alongside the association between social influence and impulsive spending. These relationships provide the basis for the hypotheses developed in Section 2.9 and the specific indirect pathways discussed in Section 2.10.</w:t>
      </w:r>
    </w:p>
    <w:p w14:paraId="59C3ECC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study’s contribution lies in empirically examining this set of relationships within the proposed model and the surveyed student context. The strength and direction of the relationships are determined by the empirical results rather than assumed from the theoretical arguments. Given the cross-sectional design, the findings are interpreted as associations and are not taken as evidence of causality.</w:t>
      </w:r>
    </w:p>
    <w:p w14:paraId="6B8ACBFB">
      <w:pPr>
        <w:pStyle w:val="4"/>
        <w:bidi w:val="0"/>
        <w:spacing w:before="0" w:after="140" w:line="276" w:lineRule="auto"/>
        <w:jc w:val="left"/>
        <w:rPr>
          <w:rFonts w:hint="default" w:ascii="Times New Roman" w:hAnsi="Times New Roman" w:cs="Times New Roman"/>
          <w:sz w:val="22"/>
          <w:szCs w:val="22"/>
        </w:rPr>
      </w:pPr>
    </w:p>
    <w:p w14:paraId="220E82CD">
      <w:pPr>
        <w:pStyle w:val="5"/>
        <w:bidi w:val="0"/>
        <w:rPr>
          <w:rFonts w:hint="default"/>
        </w:rPr>
      </w:pPr>
      <w:r>
        <w:rPr>
          <w:rFonts w:hint="default"/>
        </w:rPr>
        <w:br w:type="textWrapping"/>
      </w:r>
      <w:r>
        <w:rPr>
          <w:rFonts w:hint="default"/>
        </w:rPr>
        <w:t>3. METHODOLOGY</w:t>
      </w:r>
    </w:p>
    <w:p w14:paraId="5DE93EFE">
      <w:pPr>
        <w:pStyle w:val="6"/>
        <w:bidi w:val="0"/>
        <w:rPr>
          <w:rFonts w:hint="default"/>
        </w:rPr>
      </w:pPr>
      <w:r>
        <w:rPr>
          <w:rFonts w:hint="default"/>
        </w:rPr>
        <w:t>3.1 Research Design and Data Collection</w:t>
      </w:r>
    </w:p>
    <w:p w14:paraId="2537D9EA">
      <w:pPr>
        <w:pStyle w:val="4"/>
        <w:bidi w:val="0"/>
        <w:jc w:val="left"/>
        <w:rPr>
          <w:rFonts w:hint="default" w:ascii="Times New Roman" w:hAnsi="Times New Roman" w:cs="Times New Roman"/>
          <w:sz w:val="22"/>
          <w:szCs w:val="22"/>
        </w:rPr>
      </w:pPr>
      <w:r>
        <w:rPr>
          <w:rFonts w:hint="default" w:ascii="Times New Roman" w:hAnsi="Times New Roman" w:cs="Times New Roman"/>
          <w:sz w:val="22"/>
          <w:szCs w:val="22"/>
        </w:rPr>
        <w:t>This study employed a quantitative, cross-sectional survey design to examine the relationships among financial literacy (FL), digital financial behavior (DFB), financial management behavior (FMB), impulsive spending behavior (ISB), social influence (SI), and future financial orientation (FFO) among students enrolled in higher-education institutions in Bangladesh.</w:t>
      </w:r>
    </w:p>
    <w:p w14:paraId="41DE5C2B">
      <w:pPr>
        <w:pStyle w:val="4"/>
        <w:bidi w:val="0"/>
        <w:jc w:val="left"/>
        <w:rPr>
          <w:rFonts w:hint="default" w:ascii="Times New Roman" w:hAnsi="Times New Roman" w:cs="Times New Roman"/>
          <w:sz w:val="22"/>
          <w:szCs w:val="22"/>
        </w:rPr>
      </w:pPr>
      <w:r>
        <w:rPr>
          <w:rFonts w:hint="default" w:ascii="Times New Roman" w:hAnsi="Times New Roman" w:cs="Times New Roman"/>
          <w:sz w:val="22"/>
          <w:szCs w:val="22"/>
        </w:rPr>
        <w:t>Data were collected through a self-administered Bengali questionnaire distributed using Google Forms. The survey link was circulated through student networks associated with universities, medical institutions, and affiliated colleges offering undergraduate and postgraduate programmes. Eligible participants were students enrolled in undergraduate or postgraduate programmes at the targeted higher-education institutions in Bangladesh.</w:t>
      </w:r>
    </w:p>
    <w:p w14:paraId="6A19A8DC">
      <w:pPr>
        <w:pStyle w:val="4"/>
        <w:bidi w:val="0"/>
        <w:jc w:val="left"/>
        <w:rPr>
          <w:rFonts w:hint="default" w:ascii="Times New Roman" w:hAnsi="Times New Roman" w:cs="Times New Roman"/>
          <w:sz w:val="22"/>
          <w:szCs w:val="22"/>
        </w:rPr>
      </w:pPr>
      <w:r>
        <w:rPr>
          <w:rFonts w:hint="default" w:ascii="Times New Roman" w:hAnsi="Times New Roman" w:cs="Times New Roman"/>
          <w:sz w:val="22"/>
          <w:szCs w:val="22"/>
        </w:rPr>
        <w:t xml:space="preserve"> The questionnaire covered general money management, everyday expenditure, and digital financial services, including mobile financial services, banking applications, and cards.</w:t>
      </w:r>
    </w:p>
    <w:p w14:paraId="384C82F3">
      <w:pPr>
        <w:pStyle w:val="4"/>
        <w:bidi w:val="0"/>
        <w:jc w:val="left"/>
        <w:rPr>
          <w:rFonts w:hint="default" w:ascii="Times New Roman" w:hAnsi="Times New Roman" w:cs="Times New Roman"/>
          <w:sz w:val="22"/>
          <w:szCs w:val="22"/>
        </w:rPr>
      </w:pPr>
      <w:r>
        <w:rPr>
          <w:rFonts w:hint="default" w:ascii="Times New Roman" w:hAnsi="Times New Roman" w:cs="Times New Roman"/>
          <w:sz w:val="22"/>
          <w:szCs w:val="22"/>
        </w:rPr>
        <w:t>The initial dataset contained 540 response records. Recorded timestamps indicate that data collection ran from 1 October 2026 at 13:50:30 to 14 October 2026 at 10:44:41. Recruitment followed a non-probability, convenience-based approach. Because the number of eligible individuals who received the invitation was not established, a conventional response rate could not be calculated. Age was not collected in the current questionnaire; therefore, an observed age distribution cannot be reported.</w:t>
      </w:r>
    </w:p>
    <w:p w14:paraId="5F3123E1">
      <w:pPr>
        <w:pStyle w:val="6"/>
        <w:bidi w:val="0"/>
        <w:rPr>
          <w:rFonts w:hint="default"/>
        </w:rPr>
      </w:pPr>
      <w:r>
        <w:rPr>
          <w:rFonts w:hint="default"/>
        </w:rPr>
        <w:t>3.2 Questionnaire Development and Measurement</w:t>
      </w:r>
    </w:p>
    <w:p w14:paraId="2AF9CAB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questionnaire was developed to examine financial literacy, digital financial behavior, financial management behavior, impulsive spending behavior, social influence, and future financial orientation among higher-education students in Bangladesh. The Bengali instrument covered financial knowledge, everyday financial practices, digital financial transactions, spending tendencies, and stated preferences concerning future financial security. Informal feedback from teachers, friends, and students informed questionnaire clarity; however, this process did not constitute formal expert validation, structured cognitive interviewing, or a standardized pilot study.</w:t>
      </w:r>
    </w:p>
    <w:p w14:paraId="500C993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analytical model comprised six constructs, operationalized as follows:</w:t>
      </w:r>
    </w:p>
    <w:p w14:paraId="412C262A">
      <w:pPr>
        <w:pStyle w:val="19"/>
        <w:keepNext w:val="0"/>
        <w:keepLines w:val="0"/>
        <w:widowControl/>
        <w:suppressLineNumbers w:val="0"/>
        <w:rPr>
          <w:rFonts w:hint="default" w:ascii="Times New Roman" w:hAnsi="Times New Roman" w:cs="Times New Roman"/>
          <w:sz w:val="22"/>
          <w:szCs w:val="22"/>
        </w:rPr>
      </w:pPr>
      <w:r>
        <w:rPr>
          <w:rStyle w:val="20"/>
          <w:rFonts w:hint="default" w:ascii="Times New Roman" w:hAnsi="Times New Roman" w:cs="Times New Roman"/>
          <w:sz w:val="22"/>
          <w:szCs w:val="22"/>
        </w:rPr>
        <w:t>Financial Literacy (FL):</w:t>
      </w:r>
      <w:r>
        <w:rPr>
          <w:rFonts w:hint="default" w:ascii="Times New Roman" w:hAnsi="Times New Roman" w:cs="Times New Roman"/>
          <w:sz w:val="22"/>
          <w:szCs w:val="22"/>
        </w:rPr>
        <w:t xml:space="preserve"> Five objective knowledge items (Q8–Q12) assessed purchasing power, compound interest, investment diversification, high-interest debt, and inflation. Each correct response received one point, while incorrect and “do not know” responses received zero. The resulting score ranged from 0 to 5 and was entered into the structural model as a single observed indicator.</w:t>
      </w:r>
    </w:p>
    <w:p w14:paraId="44ED8A49">
      <w:pPr>
        <w:pStyle w:val="19"/>
        <w:keepNext w:val="0"/>
        <w:keepLines w:val="0"/>
        <w:widowControl/>
        <w:suppressLineNumbers w:val="0"/>
        <w:rPr>
          <w:rFonts w:hint="default" w:ascii="Times New Roman" w:hAnsi="Times New Roman" w:cs="Times New Roman"/>
          <w:sz w:val="22"/>
          <w:szCs w:val="22"/>
        </w:rPr>
      </w:pPr>
      <w:r>
        <w:rPr>
          <w:rStyle w:val="20"/>
          <w:rFonts w:hint="default" w:ascii="Times New Roman" w:hAnsi="Times New Roman" w:cs="Times New Roman"/>
          <w:sz w:val="22"/>
          <w:szCs w:val="22"/>
        </w:rPr>
        <w:t>Digital Financial Behavior (DFB):</w:t>
      </w:r>
      <w:r>
        <w:rPr>
          <w:rFonts w:hint="default" w:ascii="Times New Roman" w:hAnsi="Times New Roman" w:cs="Times New Roman"/>
          <w:sz w:val="22"/>
          <w:szCs w:val="22"/>
        </w:rPr>
        <w:t xml:space="preserve"> Three items (Q14–Q16) assessed the importance of digital financial services in everyday transactions, the frequency of small transactions relative to cash use, and self-reported spending associated with digital-payment convenience. The separate frequency-of-use item (Q13) was excluded from the DFB measurement block.</w:t>
      </w:r>
    </w:p>
    <w:p w14:paraId="50C20B38">
      <w:pPr>
        <w:pStyle w:val="19"/>
        <w:keepNext w:val="0"/>
        <w:keepLines w:val="0"/>
        <w:widowControl/>
        <w:suppressLineNumbers w:val="0"/>
        <w:rPr>
          <w:rFonts w:hint="default" w:ascii="Times New Roman" w:hAnsi="Times New Roman" w:cs="Times New Roman"/>
          <w:sz w:val="22"/>
          <w:szCs w:val="22"/>
        </w:rPr>
      </w:pPr>
      <w:r>
        <w:rPr>
          <w:rStyle w:val="20"/>
          <w:rFonts w:hint="default" w:ascii="Times New Roman" w:hAnsi="Times New Roman" w:cs="Times New Roman"/>
          <w:sz w:val="22"/>
          <w:szCs w:val="22"/>
        </w:rPr>
        <w:t>Financial Management Behavior (FMB):</w:t>
      </w:r>
      <w:r>
        <w:rPr>
          <w:rFonts w:hint="default" w:ascii="Times New Roman" w:hAnsi="Times New Roman" w:cs="Times New Roman"/>
          <w:sz w:val="22"/>
          <w:szCs w:val="22"/>
        </w:rPr>
        <w:t xml:space="preserve"> Three items (Q17–Q19) assessed advance expense planning, expenditure recording, and attempts to save after meeting necessary expenses.</w:t>
      </w:r>
    </w:p>
    <w:p w14:paraId="20B12CAD">
      <w:pPr>
        <w:pStyle w:val="19"/>
        <w:keepNext w:val="0"/>
        <w:keepLines w:val="0"/>
        <w:widowControl/>
        <w:suppressLineNumbers w:val="0"/>
        <w:rPr>
          <w:rFonts w:hint="default" w:ascii="Times New Roman" w:hAnsi="Times New Roman" w:cs="Times New Roman"/>
          <w:sz w:val="22"/>
          <w:szCs w:val="22"/>
        </w:rPr>
      </w:pPr>
      <w:r>
        <w:rPr>
          <w:rStyle w:val="20"/>
          <w:rFonts w:hint="default" w:ascii="Times New Roman" w:hAnsi="Times New Roman" w:cs="Times New Roman"/>
          <w:sz w:val="22"/>
          <w:szCs w:val="22"/>
        </w:rPr>
        <w:t>Impulsive Spending Behavior (ISB):</w:t>
      </w:r>
      <w:r>
        <w:rPr>
          <w:rFonts w:hint="default" w:ascii="Times New Roman" w:hAnsi="Times New Roman" w:cs="Times New Roman"/>
          <w:sz w:val="22"/>
          <w:szCs w:val="22"/>
        </w:rPr>
        <w:t xml:space="preserve"> Three items (Q20–Q22) assessed purchases influenced by attractive offers, regret following unnecessary purchases, and spending beyond planned expenditure.</w:t>
      </w:r>
    </w:p>
    <w:p w14:paraId="6392AB68">
      <w:pPr>
        <w:pStyle w:val="19"/>
        <w:keepNext w:val="0"/>
        <w:keepLines w:val="0"/>
        <w:widowControl/>
        <w:suppressLineNumbers w:val="0"/>
        <w:rPr>
          <w:rFonts w:hint="default" w:ascii="Times New Roman" w:hAnsi="Times New Roman" w:cs="Times New Roman"/>
          <w:sz w:val="22"/>
          <w:szCs w:val="22"/>
        </w:rPr>
      </w:pPr>
      <w:r>
        <w:rPr>
          <w:rStyle w:val="20"/>
          <w:rFonts w:hint="default" w:ascii="Times New Roman" w:hAnsi="Times New Roman" w:cs="Times New Roman"/>
          <w:sz w:val="22"/>
          <w:szCs w:val="22"/>
        </w:rPr>
        <w:t>Social Influence (SI):</w:t>
      </w:r>
      <w:r>
        <w:rPr>
          <w:rFonts w:hint="default" w:ascii="Times New Roman" w:hAnsi="Times New Roman" w:cs="Times New Roman"/>
          <w:sz w:val="22"/>
          <w:szCs w:val="22"/>
        </w:rPr>
        <w:t xml:space="preserve"> Three items (Q23–Q25) assessed the influence of peers’ lifestyles, social-status considerations, and digital notifications or promotional offers on spending decisions. Accordingly, SI represents a combination of interpersonal and digitally mediated external influences rather than peer pressure alone.</w:t>
      </w:r>
    </w:p>
    <w:p w14:paraId="24920698">
      <w:pPr>
        <w:pStyle w:val="19"/>
        <w:keepNext w:val="0"/>
        <w:keepLines w:val="0"/>
        <w:widowControl/>
        <w:suppressLineNumbers w:val="0"/>
        <w:rPr>
          <w:rFonts w:hint="default" w:ascii="Times New Roman" w:hAnsi="Times New Roman" w:cs="Times New Roman"/>
          <w:sz w:val="22"/>
          <w:szCs w:val="22"/>
        </w:rPr>
      </w:pPr>
      <w:r>
        <w:rPr>
          <w:rStyle w:val="20"/>
          <w:rFonts w:hint="default" w:ascii="Times New Roman" w:hAnsi="Times New Roman" w:cs="Times New Roman"/>
          <w:sz w:val="22"/>
          <w:szCs w:val="22"/>
        </w:rPr>
        <w:t>Future Financial Orientation (FFO):</w:t>
      </w:r>
      <w:r>
        <w:rPr>
          <w:rFonts w:hint="default" w:ascii="Times New Roman" w:hAnsi="Times New Roman" w:cs="Times New Roman"/>
          <w:sz w:val="22"/>
          <w:szCs w:val="22"/>
        </w:rPr>
        <w:t xml:space="preserve"> A single item (Q26) assessed respondents’ stated preference for future financial security over immediate consumption desires. This measure captures a specific financial preference rather than a comprehensive multidimensional construct.</w:t>
      </w:r>
    </w:p>
    <w:p w14:paraId="639135C2">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behavioral and attitudinal items used five-point agreement scales ranging from strongly disagree to strongly agree. FL was represented by an objective knowledge score, and FFO by a single observed item. DFB, FMB, ISB, and SI were specified as multi-item reflective constructs in the estimated model. Their measurement quality was assessed using the relevant indicator loadings, internal-consistency measures, convergent validity, and discriminant validity.</w:t>
      </w:r>
    </w:p>
    <w:p w14:paraId="59BF9F1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Conceptual proximity among some indicators warrants careful interpretation. In particular, Q16 captures self-reported spending associated with digital-payment convenience, whereas Q20–Q22 assess promotion-influenced purchases, post-purchase regret, and spending beyond planned budgets. Q25 also captures digitally mediated promotional influences that may overlap conceptually with impulsive purchasing. These items were retained according to the original questionnaire and model specification; their overlap should therefore be considered when interpreting the estimated relationships rather than treated as evidence of causality.</w:t>
      </w:r>
    </w:p>
    <w:p w14:paraId="5BD19C84">
      <w:pPr>
        <w:pStyle w:val="6"/>
        <w:bidi w:val="0"/>
        <w:rPr>
          <w:rFonts w:hint="default"/>
        </w:rPr>
      </w:pPr>
      <w:r>
        <w:rPr>
          <w:rFonts w:hint="default"/>
        </w:rPr>
        <w:t>3.3 Ethical Considerations and Voluntary Participation</w:t>
      </w:r>
    </w:p>
    <w:p w14:paraId="628ACFA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Before participation, respondents were informed of the study’s academic purpose, its focus on students’ financial-management practices and digital financial-service use, the estimated completion time of three to four minutes, and the intended use of responses for aggregate statistical analysis. The survey introduction also explained that responses would be treated confidentially and that individual or institutional names would not be disclosed.</w:t>
      </w:r>
    </w:p>
    <w:p w14:paraId="2F6A295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Recruitment messages distributed through WhatsApp explicitly stated that participation was voluntary and that individuals could decline to participate without any obligation. The survey was self-administered, and respondents chose whether to participate after receiving information about the study and its confidentiality arrangements.</w:t>
      </w:r>
    </w:p>
    <w:p w14:paraId="088FF61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study was conducted as an independent survey research project, not as a university thesis or under the formal supervision of a university professor. No institutional ethics approval or formal exemption was obtained. Furthermore, the Google Forms export did not contain a separate informed-consent checkbox. Accordingly, participation was based on respondents’ voluntary decision to proceed with the survey after being presented with the study information. These procedural limitations should be considered when interpreting the study’s ethical arrangements.</w:t>
      </w:r>
    </w:p>
    <w:p w14:paraId="61262BFF">
      <w:pPr>
        <w:pStyle w:val="6"/>
        <w:bidi w:val="0"/>
        <w:rPr>
          <w:rFonts w:hint="default"/>
        </w:rPr>
      </w:pPr>
      <w:r>
        <w:rPr>
          <w:rFonts w:hint="default"/>
        </w:rPr>
        <w:t>3.4 Data Screening and Analytical Samples</w:t>
      </w:r>
    </w:p>
    <w:p w14:paraId="255CC39B">
      <w:pPr>
        <w:pStyle w:val="4"/>
        <w:bidi w:val="0"/>
        <w:jc w:val="left"/>
        <w:rPr>
          <w:rFonts w:hint="default" w:ascii="Times New Roman" w:hAnsi="Times New Roman" w:cs="Times New Roman"/>
          <w:sz w:val="22"/>
          <w:szCs w:val="22"/>
        </w:rPr>
      </w:pPr>
      <w:r>
        <w:rPr>
          <w:rFonts w:hint="default" w:ascii="Times New Roman" w:hAnsi="Times New Roman" w:cs="Times New Roman"/>
          <w:sz w:val="22"/>
          <w:szCs w:val="22"/>
        </w:rPr>
        <w:t>Data preparation and screening were conducted in Python using Pandas. Procedures included coding questionnaire variables, constructing the FL score, identifying missing analytical observations, and inspecting potentially unusual response patterns.</w:t>
      </w:r>
    </w:p>
    <w:p w14:paraId="70796707">
      <w:pPr>
        <w:pStyle w:val="19"/>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cs="Times New Roman"/>
          <w:sz w:val="22"/>
          <w:szCs w:val="22"/>
        </w:rPr>
        <w:t xml:space="preserve">Three records contained missing values in the modeled indicators: one lacked Q15 and two lacked Q19. These records were excluded using complete-case analysis, leaving </w:t>
      </w:r>
      <w:r>
        <w:rPr>
          <w:rStyle w:val="20"/>
          <w:rFonts w:hint="default" w:ascii="Times New Roman" w:hAnsi="Times New Roman" w:cs="Times New Roman"/>
          <w:sz w:val="22"/>
          <w:szCs w:val="22"/>
        </w:rPr>
        <w:t>537 observations for the primary PLS-SEM analysis</w:t>
      </w:r>
      <w:r>
        <w:rPr>
          <w:rFonts w:hint="default" w:ascii="Times New Roman" w:hAnsi="Times New Roman" w:cs="Times New Roman"/>
          <w:sz w:val="22"/>
          <w:szCs w:val="22"/>
        </w:rPr>
        <w:t>. The numerical dataset contained 14 variables: Q14–Q26 and the constructed FL score.</w:t>
      </w:r>
      <w:r>
        <w:rPr>
          <w:rFonts w:hint="default" w:ascii="Times New Roman" w:hAnsi="Times New Roman" w:cs="Times New Roman"/>
          <w:sz w:val="22"/>
          <w:szCs w:val="22"/>
          <w:lang w:val="en-US"/>
        </w:rPr>
        <w:t xml:space="preserve"> </w:t>
      </w:r>
      <w:r>
        <w:rPr>
          <w:rFonts w:hint="default" w:ascii="Times New Roman" w:hAnsi="Times New Roman" w:cs="Times New Roman"/>
          <w:kern w:val="0"/>
          <w:sz w:val="22"/>
          <w:szCs w:val="22"/>
          <w:lang w:val="en-US" w:eastAsia="zh-CN" w:bidi="ar"/>
        </w:rPr>
        <w:t>Of the 540 response records, 537 cases with complete data on all modeled indicators were retained for the primary PLS-SEM analysis. Two of these cases lacked academic-discipline classifications and were therefore excluded from the supplementary discipline-wise analyses, which included 535 respondents.</w:t>
      </w:r>
    </w:p>
    <w:p w14:paraId="0A4D091A">
      <w:pPr>
        <w:pStyle w:val="4"/>
        <w:bidi w:val="0"/>
        <w:jc w:val="left"/>
        <w:rPr>
          <w:rFonts w:hint="default" w:ascii="Times New Roman" w:hAnsi="Times New Roman" w:cs="Times New Roman"/>
          <w:sz w:val="22"/>
          <w:szCs w:val="22"/>
        </w:rPr>
      </w:pPr>
      <w:r>
        <w:rPr>
          <w:rFonts w:hint="default" w:ascii="Times New Roman" w:hAnsi="Times New Roman" w:cs="Times New Roman"/>
          <w:sz w:val="22"/>
          <w:szCs w:val="22"/>
        </w:rPr>
        <w:t>Screening identified one pair of records with identical modeled-item responses apart from their submission timestamps. Two additional observations displayed identical responses across the Q14–Q26 Likert-type items. These patterns were treated as potential data-quality concerns rather than conclusive evidence of invalid participation.</w:t>
      </w:r>
    </w:p>
    <w:p w14:paraId="7702F31B">
      <w:pPr>
        <w:pStyle w:val="4"/>
        <w:bidi w:val="0"/>
        <w:jc w:val="left"/>
        <w:rPr>
          <w:rFonts w:hint="default" w:ascii="Times New Roman" w:hAnsi="Times New Roman" w:cs="Times New Roman"/>
          <w:sz w:val="22"/>
          <w:szCs w:val="22"/>
        </w:rPr>
      </w:pPr>
      <w:r>
        <w:rPr>
          <w:rFonts w:hint="default" w:ascii="Times New Roman" w:hAnsi="Times New Roman" w:cs="Times New Roman"/>
          <w:sz w:val="22"/>
          <w:szCs w:val="22"/>
        </w:rPr>
        <w:t xml:space="preserve">All 537 complete observations were retained in the primary analysis. For sensitivity analysis, one record from the potentially duplicated pair and the two straight-lining observations were excluded, producing an alternative sample of </w:t>
      </w:r>
      <w:r>
        <w:rPr>
          <w:rStyle w:val="20"/>
          <w:rFonts w:hint="default" w:ascii="Times New Roman" w:hAnsi="Times New Roman" w:cs="Times New Roman"/>
          <w:sz w:val="22"/>
          <w:szCs w:val="22"/>
        </w:rPr>
        <w:t>534 observations</w:t>
      </w:r>
      <w:r>
        <w:rPr>
          <w:rFonts w:hint="default" w:ascii="Times New Roman" w:hAnsi="Times New Roman" w:cs="Times New Roman"/>
          <w:sz w:val="22"/>
          <w:szCs w:val="22"/>
        </w:rPr>
        <w:t xml:space="preserve">. The supplementary academic-discipline analysis included </w:t>
      </w:r>
      <w:r>
        <w:rPr>
          <w:rStyle w:val="20"/>
          <w:rFonts w:hint="default" w:ascii="Times New Roman" w:hAnsi="Times New Roman" w:cs="Times New Roman"/>
          <w:sz w:val="22"/>
          <w:szCs w:val="22"/>
        </w:rPr>
        <w:t>535 observations</w:t>
      </w:r>
      <w:r>
        <w:rPr>
          <w:rFonts w:hint="default" w:ascii="Times New Roman" w:hAnsi="Times New Roman" w:cs="Times New Roman"/>
          <w:sz w:val="22"/>
          <w:szCs w:val="22"/>
        </w:rPr>
        <w:t xml:space="preserve"> with usable discipline classifications. The earlier survey dataset was kept separate and was not pooled with the current observations.</w:t>
      </w:r>
    </w:p>
    <w:p w14:paraId="3A9AB9B5">
      <w:pPr>
        <w:pStyle w:val="6"/>
        <w:bidi w:val="0"/>
      </w:pPr>
      <w:r>
        <w:t>3.5 PLS-SEM Estimation and Hypothesis Testing</w:t>
      </w:r>
    </w:p>
    <w:p w14:paraId="5531F4AE">
      <w:pPr>
        <w:pStyle w:val="19"/>
        <w:keepNext w:val="0"/>
        <w:keepLines w:val="0"/>
        <w:widowControl/>
        <w:suppressLineNumbers w:val="0"/>
        <w:rPr>
          <w:sz w:val="22"/>
          <w:szCs w:val="22"/>
        </w:rPr>
      </w:pPr>
      <w:r>
        <w:rPr>
          <w:sz w:val="22"/>
          <w:szCs w:val="22"/>
        </w:rPr>
        <w:t>The measurement and structural models were estimated using SmartPLS 4. The reflective measurement model was assessed using indicator loadings, Cronbach’s alpha, rho_A, composite reliability (rho_C), and average variance extracted (AVE), following established PLS-SEM guidelines (Hair et al., 2019). Discriminant validity was examined using the heterotrait–monotrait ratio (HTMT; Henseler et al., 2015).</w:t>
      </w:r>
    </w:p>
    <w:p w14:paraId="0A46E338">
      <w:pPr>
        <w:pStyle w:val="19"/>
        <w:keepNext w:val="0"/>
        <w:keepLines w:val="0"/>
        <w:widowControl/>
        <w:suppressLineNumbers w:val="0"/>
        <w:rPr>
          <w:sz w:val="22"/>
          <w:szCs w:val="22"/>
        </w:rPr>
      </w:pPr>
      <w:r>
        <w:rPr>
          <w:sz w:val="22"/>
          <w:szCs w:val="22"/>
        </w:rPr>
        <w:t>The commonly applied assessment criteria included indicator loadings of approximately 0.708 or higher, internal-consistency coefficients generally exceeding 0.70, AVE exceeding 0.50, and HTMT values below 0.85 (Hair et al., 2019; Henseler et al., 2015). These criteria were considered alongside the substantive meaning of the indicators. Single-indicator constructs were interpreted according to their operational definitions rather than as evidence of perfect measurement reliability.</w:t>
      </w:r>
    </w:p>
    <w:p w14:paraId="0FFEC3EE">
      <w:pPr>
        <w:pStyle w:val="19"/>
        <w:keepNext w:val="0"/>
        <w:keepLines w:val="0"/>
        <w:widowControl/>
        <w:suppressLineNumbers w:val="0"/>
        <w:rPr>
          <w:sz w:val="22"/>
          <w:szCs w:val="22"/>
        </w:rPr>
      </w:pPr>
      <w:r>
        <w:rPr>
          <w:sz w:val="22"/>
          <w:szCs w:val="22"/>
        </w:rPr>
        <w:t>The structural model evaluated seven hypothesized direct relationships: DFB → FMB (H1), DFB → ISB (H2), FL → FMB (H3), FL → FFO (H4), FMB → FFO (H5), ISB → FFO (H6), and SI → ISB (H7). Assessment included standardized path coefficients, bootstrap significance tests, confidence intervals, inner-model variance inflation factors (VIF), coefficients of determination (R² and adjusted R²), and effect sizes (f²). Bootstrapping used 5,000 subsamples, with statistical significance assessed at the 5% level. Bias-corrected bootstrap confidence intervals were examined to evaluate uncertainty surrounding the estimates.</w:t>
      </w:r>
    </w:p>
    <w:p w14:paraId="3086ABA5">
      <w:pPr>
        <w:pStyle w:val="19"/>
        <w:keepNext w:val="0"/>
        <w:keepLines w:val="0"/>
        <w:widowControl/>
        <w:suppressLineNumbers w:val="0"/>
        <w:rPr>
          <w:sz w:val="22"/>
          <w:szCs w:val="22"/>
        </w:rPr>
      </w:pPr>
      <w:r>
        <w:rPr>
          <w:sz w:val="22"/>
          <w:szCs w:val="22"/>
        </w:rPr>
        <w:t>Four specific indirect relationships were also assessed: SI → ISB → FFO, DFB → ISB → FFO, DFB → FMB → FFO, and FL → FMB → FFO. Their statistical significance was evaluated using indirect-effect estimates and bootstrap confidence intervals. Given the cross-sectional design, these pathways were interpreted as indirect statistical associations rather than evidence of causal mediation.</w:t>
      </w:r>
    </w:p>
    <w:p w14:paraId="4E20974A">
      <w:pPr>
        <w:pStyle w:val="19"/>
        <w:keepNext w:val="0"/>
        <w:keepLines w:val="0"/>
        <w:widowControl/>
        <w:suppressLineNumbers w:val="0"/>
        <w:rPr>
          <w:sz w:val="22"/>
          <w:szCs w:val="22"/>
        </w:rPr>
      </w:pPr>
      <w:r>
        <w:rPr>
          <w:sz w:val="22"/>
          <w:szCs w:val="22"/>
        </w:rPr>
        <w:t>Model fit was examined using the standardized root mean square residual (SRMR) for the saturated and estimated models under the mixed (factors and composites) and composite-only specifications. SRMR was interpreted as a descriptive model-fit diagnostic rather than as standalone evidence of overall model adequacy.</w:t>
      </w:r>
    </w:p>
    <w:p w14:paraId="2D808F87">
      <w:pPr>
        <w:pStyle w:val="6"/>
        <w:bidi w:val="0"/>
      </w:pPr>
      <w:r>
        <w:t>3.6 Academic-Discipline Analysis</w:t>
      </w:r>
    </w:p>
    <w:p w14:paraId="0B934233">
      <w:pPr>
        <w:pStyle w:val="19"/>
        <w:keepNext w:val="0"/>
        <w:keepLines w:val="0"/>
        <w:widowControl/>
        <w:suppressLineNumbers w:val="0"/>
        <w:rPr>
          <w:sz w:val="22"/>
          <w:szCs w:val="22"/>
        </w:rPr>
      </w:pPr>
      <w:r>
        <w:rPr>
          <w:sz w:val="22"/>
          <w:szCs w:val="22"/>
        </w:rPr>
        <w:t>Supplementary analyses were conducted in Python using Pandas and SciPy to examine differences across four academic-discipline groups: Business/Commerce/Economics/Finance, Science/Engineering/Technology, Arts/Humanities/Social Sciences/Law, and Medical/Health Sciences.</w:t>
      </w:r>
    </w:p>
    <w:p w14:paraId="7381BF25">
      <w:pPr>
        <w:pStyle w:val="19"/>
        <w:keepNext w:val="0"/>
        <w:keepLines w:val="0"/>
        <w:widowControl/>
        <w:suppressLineNumbers w:val="0"/>
        <w:rPr>
          <w:sz w:val="22"/>
          <w:szCs w:val="22"/>
        </w:rPr>
      </w:pPr>
      <w:r>
        <w:rPr>
          <w:sz w:val="22"/>
          <w:szCs w:val="22"/>
        </w:rPr>
        <w:t>Kruskal–Wallis H tests examined group differences in six outcomes: FL, FMB, ISB, SI, Q19, and FFO. Holm-adjusted p-values were calculated across the six omnibus tests, with epsilon-squared (ε²) used as an effect-size measure.</w:t>
      </w:r>
    </w:p>
    <w:p w14:paraId="234501D0">
      <w:pPr>
        <w:pStyle w:val="19"/>
        <w:keepNext w:val="0"/>
        <w:keepLines w:val="0"/>
        <w:widowControl/>
        <w:suppressLineNumbers w:val="0"/>
        <w:rPr>
          <w:sz w:val="22"/>
          <w:szCs w:val="22"/>
        </w:rPr>
      </w:pPr>
      <w:r>
        <w:rPr>
          <w:sz w:val="22"/>
          <w:szCs w:val="22"/>
        </w:rPr>
        <w:t>Pairwise Mann–Whitney U tests generated 36 comparisons across the six outcomes. Holm-adjusted p-values were calculated within each outcome, rank-biserial correlations were used as effect sizes, and Benjamini–Hochberg-adjusted p-values were calculated across all 36 comparisons. Spearman rank correlations examined associations between FL and FMB, ISB, SI, and FFO within each discipline group, yielding 16 tests. Benjamini–Hochberg correction was applied across these tests.</w:t>
      </w:r>
    </w:p>
    <w:p w14:paraId="5485B0E9">
      <w:pPr>
        <w:pStyle w:val="19"/>
        <w:keepNext w:val="0"/>
        <w:keepLines w:val="0"/>
        <w:widowControl/>
        <w:suppressLineNumbers w:val="0"/>
        <w:rPr>
          <w:sz w:val="22"/>
          <w:szCs w:val="22"/>
        </w:rPr>
      </w:pPr>
      <w:r>
        <w:rPr>
          <w:sz w:val="22"/>
          <w:szCs w:val="22"/>
        </w:rPr>
        <w:t>These analyses were treated as supplementary and exploratory rather than as confirmatory tests of the primary structural model. No PLS-SEM multigroup analysis was conducted; therefore, differences in structural path coefficients across academic disciplines were not directly tested.</w:t>
      </w:r>
    </w:p>
    <w:p w14:paraId="6D1BC496">
      <w:pPr>
        <w:pStyle w:val="6"/>
        <w:bidi w:val="0"/>
      </w:pPr>
      <w:r>
        <w:t>3.7 Predictive Assessment and Sensitivity Analysis</w:t>
      </w:r>
    </w:p>
    <w:p w14:paraId="2E9475C7">
      <w:pPr>
        <w:pStyle w:val="19"/>
        <w:keepNext w:val="0"/>
        <w:keepLines w:val="0"/>
        <w:widowControl/>
        <w:suppressLineNumbers w:val="0"/>
      </w:pPr>
      <w:r>
        <w:t>Out-of-sample predictive performance was assessed using PLSpredict and the cross-validated predictive ability test (CVPAT) in SmartPLS 4. The assessment included Q²_predict, root mean squared error (RMSE), and mean absolute error (MAE), with comparisons against indicator-average and linear-model benchmarks. Predictive relevance was distinguished from comparative predictive superiority by evaluating Q²_predict, prediction errors, and CVPAT results separately.</w:t>
      </w:r>
    </w:p>
    <w:p w14:paraId="382974D6">
      <w:pPr>
        <w:pStyle w:val="19"/>
        <w:keepNext w:val="0"/>
        <w:keepLines w:val="0"/>
        <w:widowControl/>
        <w:suppressLineNumbers w:val="0"/>
      </w:pPr>
      <w:r>
        <w:t>Sensitivity analysis compared the primary model based on 537 observations with an alternative model based on 534 observations. Using the same measurement specification and structural relationships, the analysis examined standardized path coefficients, statistical significance, bootstrap confidence intervals, specific indirect effects, R², and f². The comparison evaluated the stability of the estimated relationships under the specified response exclusions without presuming that the excluded observations were necessarily invalid.</w:t>
      </w:r>
    </w:p>
    <w:p w14:paraId="69F3BC8F">
      <w:pPr>
        <w:pStyle w:val="2"/>
        <w:bidi w:val="0"/>
        <w:spacing w:before="0" w:after="140" w:line="276" w:lineRule="auto"/>
        <w:jc w:val="left"/>
        <w:rPr>
          <w:rFonts w:hint="default" w:ascii="Times New Roman" w:hAnsi="Times New Roman" w:cs="Times New Roman"/>
          <w:sz w:val="22"/>
          <w:szCs w:val="22"/>
        </w:rPr>
      </w:pPr>
    </w:p>
    <w:p w14:paraId="17D41F0E">
      <w:pPr>
        <w:pStyle w:val="5"/>
        <w:bidi w:val="0"/>
        <w:rPr>
          <w:rFonts w:hint="default"/>
        </w:rPr>
      </w:pPr>
      <w:r>
        <w:rPr>
          <w:rFonts w:hint="default"/>
        </w:rPr>
        <w:t>4. RESULTS</w:t>
      </w:r>
    </w:p>
    <w:p w14:paraId="50B9AFDE">
      <w:pPr>
        <w:pStyle w:val="6"/>
        <w:keepNext w:val="0"/>
        <w:keepLines w:val="0"/>
        <w:widowControl/>
        <w:suppressLineNumbers w:val="0"/>
        <w:rPr>
          <w:sz w:val="22"/>
          <w:szCs w:val="22"/>
        </w:rPr>
      </w:pPr>
      <w:r>
        <w:rPr>
          <w:sz w:val="22"/>
          <w:szCs w:val="22"/>
        </w:rPr>
        <w:t>4.1 Sample Characteristics and Financial Literacy</w:t>
      </w:r>
    </w:p>
    <w:p w14:paraId="710E22C7">
      <w:pPr>
        <w:pStyle w:val="19"/>
        <w:keepNext w:val="0"/>
        <w:keepLines w:val="0"/>
        <w:widowControl/>
        <w:suppressLineNumbers w:val="0"/>
        <w:rPr>
          <w:sz w:val="22"/>
          <w:szCs w:val="22"/>
        </w:rPr>
      </w:pPr>
      <w:r>
        <w:rPr>
          <w:sz w:val="22"/>
          <w:szCs w:val="22"/>
        </w:rPr>
        <w:t>Of the 540 responses collected from students in Bangladeshi higher-education institutions, 537 complete cases were retained for the primary PLS-SEM analysis after excluding three observations with missing model-indicator data.</w:t>
      </w:r>
    </w:p>
    <w:p w14:paraId="2522798C">
      <w:pPr>
        <w:pStyle w:val="19"/>
        <w:keepNext w:val="0"/>
        <w:keepLines w:val="0"/>
        <w:widowControl/>
        <w:suppressLineNumbers w:val="0"/>
        <w:rPr>
          <w:sz w:val="22"/>
          <w:szCs w:val="22"/>
        </w:rPr>
      </w:pPr>
      <w:r>
        <w:rPr>
          <w:sz w:val="22"/>
          <w:szCs w:val="22"/>
        </w:rPr>
        <w:t>The sample included students from public and private universities, National University-affiliated colleges, and other higher-education institutions. Science/Engineering/Technology was the largest academic-discipline group, followed by Business/Commerce/Economics/Finance, Arts/Humanities/Social Sciences/Law, and Medical/Health Sciences. Two respondents had missing academic-discipline classifications.</w:t>
      </w:r>
    </w:p>
    <w:p w14:paraId="711EF6CC">
      <w:pPr>
        <w:pStyle w:val="19"/>
        <w:keepNext w:val="0"/>
        <w:keepLines w:val="0"/>
        <w:widowControl/>
        <w:suppressLineNumbers w:val="0"/>
        <w:rPr>
          <w:rFonts w:hint="default" w:ascii="Times New Roman" w:hAnsi="Times New Roman" w:cs="Times New Roman"/>
          <w:sz w:val="22"/>
          <w:szCs w:val="22"/>
          <w:lang w:val="en-US"/>
        </w:rPr>
      </w:pPr>
      <w:r>
        <w:rPr>
          <w:sz w:val="22"/>
          <w:szCs w:val="22"/>
        </w:rPr>
        <w:t xml:space="preserve">Regarding monthly finances, the most common income and expenditure categories were both BDT 5,000–10,000. More than half of the respondents reported having money remaining or being able to save at month-end, while the remainder either spent nearly all available money without borrowing or frequently experienced financial shortages or borrowed money. Detailed sample characteristics and financial-status distributions are presented in Table </w:t>
      </w:r>
      <w:r>
        <w:rPr>
          <w:rFonts w:hint="default"/>
          <w:sz w:val="22"/>
          <w:szCs w:val="22"/>
          <w:lang w:val="en-US"/>
        </w:rPr>
        <w:t xml:space="preserve">2. </w:t>
      </w:r>
      <w:r>
        <w:rPr>
          <w:rFonts w:hint="default"/>
          <w:sz w:val="22"/>
          <w:szCs w:val="22"/>
          <w:lang w:val="en-US"/>
        </w:rPr>
        <w:br w:type="textWrapping"/>
      </w:r>
      <w:r>
        <w:rPr>
          <w:rFonts w:hint="default"/>
          <w:sz w:val="22"/>
          <w:szCs w:val="22"/>
          <w:lang w:val="en-US"/>
        </w:rPr>
        <w:br w:type="textWrapping"/>
      </w:r>
      <w:r>
        <w:rPr>
          <w:rFonts w:hint="default"/>
          <w:sz w:val="22"/>
          <w:szCs w:val="22"/>
          <w:lang w:val="en-US"/>
        </w:rPr>
        <w:t xml:space="preserve">Table-2: </w:t>
      </w:r>
      <w:r>
        <w:rPr>
          <w:rFonts w:ascii="SimSun" w:hAnsi="SimSun" w:eastAsia="SimSun" w:cs="SimSun"/>
          <w:sz w:val="22"/>
          <w:szCs w:val="22"/>
        </w:rPr>
        <w:t>Sample Characteristics and Financial Status of Respondents</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06"/>
        <w:gridCol w:w="5632"/>
        <w:gridCol w:w="390"/>
        <w:gridCol w:w="680"/>
      </w:tblGrid>
      <w:tr w14:paraId="317DE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05E01BFB">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color w:val="auto"/>
                <w:kern w:val="0"/>
                <w:sz w:val="22"/>
                <w:szCs w:val="22"/>
                <w:lang w:val="en-US" w:eastAsia="zh-CN" w:bidi="ar"/>
              </w:rPr>
              <w:t>Characteristic</w:t>
            </w:r>
          </w:p>
        </w:tc>
        <w:tc>
          <w:tcPr>
            <w:tcW w:w="0" w:type="auto"/>
            <w:shd w:val="clear" w:color="auto" w:fill="auto"/>
            <w:vAlign w:val="center"/>
          </w:tcPr>
          <w:p w14:paraId="0E765EBE">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color w:val="auto"/>
                <w:kern w:val="0"/>
                <w:sz w:val="22"/>
                <w:szCs w:val="22"/>
                <w:lang w:val="en-US" w:eastAsia="zh-CN" w:bidi="ar"/>
              </w:rPr>
              <w:t>Category</w:t>
            </w:r>
          </w:p>
        </w:tc>
        <w:tc>
          <w:tcPr>
            <w:tcW w:w="0" w:type="auto"/>
            <w:shd w:val="clear" w:color="auto" w:fill="auto"/>
            <w:vAlign w:val="center"/>
          </w:tcPr>
          <w:p w14:paraId="04C6B02E">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color w:val="auto"/>
                <w:kern w:val="0"/>
                <w:sz w:val="22"/>
                <w:szCs w:val="22"/>
                <w:lang w:val="en-US" w:eastAsia="zh-CN" w:bidi="ar"/>
              </w:rPr>
              <w:t>n</w:t>
            </w:r>
          </w:p>
        </w:tc>
        <w:tc>
          <w:tcPr>
            <w:tcW w:w="0" w:type="auto"/>
            <w:shd w:val="clear" w:color="auto" w:fill="auto"/>
            <w:vAlign w:val="center"/>
          </w:tcPr>
          <w:p w14:paraId="124B2277">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color w:val="auto"/>
                <w:kern w:val="0"/>
                <w:sz w:val="22"/>
                <w:szCs w:val="22"/>
                <w:lang w:val="en-US" w:eastAsia="zh-CN" w:bidi="ar"/>
              </w:rPr>
              <w:t>%</w:t>
            </w:r>
          </w:p>
        </w:tc>
      </w:tr>
      <w:tr w14:paraId="0D4F5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60D233">
            <w:pPr>
              <w:keepNext w:val="0"/>
              <w:keepLines w:val="0"/>
              <w:widowControl/>
              <w:suppressLineNumbers w:val="0"/>
              <w:jc w:val="left"/>
              <w:rPr>
                <w:rFonts w:hint="default" w:ascii="Times New Roman" w:hAnsi="Times New Roman" w:cs="Times New Roman"/>
                <w:sz w:val="22"/>
                <w:szCs w:val="22"/>
              </w:rPr>
            </w:pPr>
            <w:r>
              <w:rPr>
                <w:rStyle w:val="20"/>
                <w:rFonts w:hint="default" w:ascii="Times New Roman" w:hAnsi="Times New Roman" w:eastAsia="SimSun" w:cs="Times New Roman"/>
                <w:color w:val="auto"/>
                <w:kern w:val="0"/>
                <w:sz w:val="22"/>
                <w:szCs w:val="22"/>
                <w:lang w:val="en-US" w:eastAsia="zh-CN" w:bidi="ar"/>
              </w:rPr>
              <w:t>Institution type</w:t>
            </w:r>
          </w:p>
        </w:tc>
        <w:tc>
          <w:tcPr>
            <w:tcW w:w="0" w:type="auto"/>
            <w:shd w:val="clear" w:color="auto" w:fill="auto"/>
            <w:vAlign w:val="center"/>
          </w:tcPr>
          <w:p w14:paraId="0FAA916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Public university</w:t>
            </w:r>
          </w:p>
        </w:tc>
        <w:tc>
          <w:tcPr>
            <w:tcW w:w="0" w:type="auto"/>
            <w:shd w:val="clear" w:color="auto" w:fill="auto"/>
            <w:vAlign w:val="center"/>
          </w:tcPr>
          <w:p w14:paraId="6E3DDA9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219</w:t>
            </w:r>
          </w:p>
        </w:tc>
        <w:tc>
          <w:tcPr>
            <w:tcW w:w="0" w:type="auto"/>
            <w:shd w:val="clear" w:color="auto" w:fill="auto"/>
            <w:vAlign w:val="center"/>
          </w:tcPr>
          <w:p w14:paraId="3AEC9BD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40.8</w:t>
            </w:r>
          </w:p>
        </w:tc>
      </w:tr>
      <w:tr w14:paraId="123E3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C523E6">
            <w:pPr>
              <w:keepNext w:val="0"/>
              <w:keepLines w:val="0"/>
              <w:widowControl/>
              <w:suppressLineNumbers w:val="0"/>
              <w:jc w:val="left"/>
              <w:rPr>
                <w:rFonts w:hint="default" w:ascii="Times New Roman" w:hAnsi="Times New Roman" w:cs="Times New Roman"/>
                <w:sz w:val="22"/>
                <w:szCs w:val="22"/>
              </w:rPr>
            </w:pPr>
          </w:p>
        </w:tc>
        <w:tc>
          <w:tcPr>
            <w:tcW w:w="0" w:type="auto"/>
            <w:shd w:val="clear" w:color="auto" w:fill="auto"/>
            <w:vAlign w:val="center"/>
          </w:tcPr>
          <w:p w14:paraId="720C5BC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Private university</w:t>
            </w:r>
          </w:p>
        </w:tc>
        <w:tc>
          <w:tcPr>
            <w:tcW w:w="0" w:type="auto"/>
            <w:shd w:val="clear" w:color="auto" w:fill="auto"/>
            <w:vAlign w:val="center"/>
          </w:tcPr>
          <w:p w14:paraId="0644876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131</w:t>
            </w:r>
          </w:p>
        </w:tc>
        <w:tc>
          <w:tcPr>
            <w:tcW w:w="0" w:type="auto"/>
            <w:shd w:val="clear" w:color="auto" w:fill="auto"/>
            <w:vAlign w:val="center"/>
          </w:tcPr>
          <w:p w14:paraId="7346877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24.4</w:t>
            </w:r>
          </w:p>
        </w:tc>
      </w:tr>
      <w:tr w14:paraId="1833E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C7F54C">
            <w:pPr>
              <w:keepNext w:val="0"/>
              <w:keepLines w:val="0"/>
              <w:widowControl/>
              <w:suppressLineNumbers w:val="0"/>
              <w:jc w:val="left"/>
              <w:rPr>
                <w:rFonts w:hint="default" w:ascii="Times New Roman" w:hAnsi="Times New Roman" w:cs="Times New Roman"/>
                <w:sz w:val="22"/>
                <w:szCs w:val="22"/>
              </w:rPr>
            </w:pPr>
          </w:p>
        </w:tc>
        <w:tc>
          <w:tcPr>
            <w:tcW w:w="0" w:type="auto"/>
            <w:shd w:val="clear" w:color="auto" w:fill="auto"/>
            <w:vAlign w:val="center"/>
          </w:tcPr>
          <w:p w14:paraId="7A8324D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National University-affiliated college</w:t>
            </w:r>
          </w:p>
        </w:tc>
        <w:tc>
          <w:tcPr>
            <w:tcW w:w="0" w:type="auto"/>
            <w:shd w:val="clear" w:color="auto" w:fill="auto"/>
            <w:vAlign w:val="center"/>
          </w:tcPr>
          <w:p w14:paraId="0ECE071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97</w:t>
            </w:r>
          </w:p>
        </w:tc>
        <w:tc>
          <w:tcPr>
            <w:tcW w:w="0" w:type="auto"/>
            <w:shd w:val="clear" w:color="auto" w:fill="auto"/>
            <w:vAlign w:val="center"/>
          </w:tcPr>
          <w:p w14:paraId="26A802F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18.1</w:t>
            </w:r>
          </w:p>
        </w:tc>
      </w:tr>
      <w:tr w14:paraId="1B707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69A6FD">
            <w:pPr>
              <w:keepNext w:val="0"/>
              <w:keepLines w:val="0"/>
              <w:widowControl/>
              <w:suppressLineNumbers w:val="0"/>
              <w:jc w:val="left"/>
              <w:rPr>
                <w:rFonts w:hint="default" w:ascii="Times New Roman" w:hAnsi="Times New Roman" w:cs="Times New Roman"/>
                <w:sz w:val="22"/>
                <w:szCs w:val="22"/>
              </w:rPr>
            </w:pPr>
          </w:p>
        </w:tc>
        <w:tc>
          <w:tcPr>
            <w:tcW w:w="0" w:type="auto"/>
            <w:shd w:val="clear" w:color="auto" w:fill="auto"/>
            <w:vAlign w:val="center"/>
          </w:tcPr>
          <w:p w14:paraId="047970E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Medical, engineering, or other higher-education institution</w:t>
            </w:r>
          </w:p>
        </w:tc>
        <w:tc>
          <w:tcPr>
            <w:tcW w:w="0" w:type="auto"/>
            <w:shd w:val="clear" w:color="auto" w:fill="auto"/>
            <w:vAlign w:val="center"/>
          </w:tcPr>
          <w:p w14:paraId="5AE2818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90</w:t>
            </w:r>
          </w:p>
        </w:tc>
        <w:tc>
          <w:tcPr>
            <w:tcW w:w="0" w:type="auto"/>
            <w:shd w:val="clear" w:color="auto" w:fill="auto"/>
            <w:vAlign w:val="center"/>
          </w:tcPr>
          <w:p w14:paraId="02E86EF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16.8</w:t>
            </w:r>
          </w:p>
        </w:tc>
      </w:tr>
      <w:tr w14:paraId="4E837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DA4C10">
            <w:pPr>
              <w:keepNext w:val="0"/>
              <w:keepLines w:val="0"/>
              <w:widowControl/>
              <w:suppressLineNumbers w:val="0"/>
              <w:jc w:val="left"/>
              <w:rPr>
                <w:rFonts w:hint="default" w:ascii="Times New Roman" w:hAnsi="Times New Roman" w:cs="Times New Roman"/>
                <w:sz w:val="22"/>
                <w:szCs w:val="22"/>
              </w:rPr>
            </w:pPr>
          </w:p>
        </w:tc>
        <w:tc>
          <w:tcPr>
            <w:tcW w:w="0" w:type="auto"/>
            <w:shd w:val="clear" w:color="auto" w:fill="auto"/>
            <w:vAlign w:val="center"/>
          </w:tcPr>
          <w:p w14:paraId="220EBCE7">
            <w:pPr>
              <w:keepNext w:val="0"/>
              <w:keepLines w:val="0"/>
              <w:widowControl/>
              <w:suppressLineNumbers w:val="0"/>
              <w:jc w:val="left"/>
              <w:rPr>
                <w:rFonts w:hint="default" w:ascii="Times New Roman" w:hAnsi="Times New Roman" w:cs="Times New Roman"/>
                <w:sz w:val="22"/>
                <w:szCs w:val="22"/>
              </w:rPr>
            </w:pPr>
            <w:r>
              <w:rPr>
                <w:rStyle w:val="20"/>
                <w:rFonts w:hint="default" w:ascii="Times New Roman" w:hAnsi="Times New Roman" w:eastAsia="SimSun" w:cs="Times New Roman"/>
                <w:color w:val="auto"/>
                <w:kern w:val="0"/>
                <w:sz w:val="22"/>
                <w:szCs w:val="22"/>
                <w:lang w:val="en-US" w:eastAsia="zh-CN" w:bidi="ar"/>
              </w:rPr>
              <w:t>Total</w:t>
            </w:r>
          </w:p>
        </w:tc>
        <w:tc>
          <w:tcPr>
            <w:tcW w:w="0" w:type="auto"/>
            <w:shd w:val="clear" w:color="auto" w:fill="auto"/>
            <w:vAlign w:val="center"/>
          </w:tcPr>
          <w:p w14:paraId="7EAD146D">
            <w:pPr>
              <w:keepNext w:val="0"/>
              <w:keepLines w:val="0"/>
              <w:widowControl/>
              <w:suppressLineNumbers w:val="0"/>
              <w:jc w:val="left"/>
              <w:rPr>
                <w:rFonts w:hint="default" w:ascii="Times New Roman" w:hAnsi="Times New Roman" w:cs="Times New Roman"/>
                <w:sz w:val="22"/>
                <w:szCs w:val="22"/>
              </w:rPr>
            </w:pPr>
            <w:r>
              <w:rPr>
                <w:rStyle w:val="20"/>
                <w:rFonts w:hint="default" w:ascii="Times New Roman" w:hAnsi="Times New Roman" w:eastAsia="SimSun" w:cs="Times New Roman"/>
                <w:color w:val="auto"/>
                <w:kern w:val="0"/>
                <w:sz w:val="22"/>
                <w:szCs w:val="22"/>
                <w:lang w:val="en-US" w:eastAsia="zh-CN" w:bidi="ar"/>
              </w:rPr>
              <w:t>537</w:t>
            </w:r>
          </w:p>
        </w:tc>
        <w:tc>
          <w:tcPr>
            <w:tcW w:w="0" w:type="auto"/>
            <w:shd w:val="clear" w:color="auto" w:fill="auto"/>
            <w:vAlign w:val="center"/>
          </w:tcPr>
          <w:p w14:paraId="2D7B6F97">
            <w:pPr>
              <w:keepNext w:val="0"/>
              <w:keepLines w:val="0"/>
              <w:widowControl/>
              <w:suppressLineNumbers w:val="0"/>
              <w:jc w:val="left"/>
              <w:rPr>
                <w:rFonts w:hint="default" w:ascii="Times New Roman" w:hAnsi="Times New Roman" w:cs="Times New Roman"/>
                <w:sz w:val="22"/>
                <w:szCs w:val="22"/>
              </w:rPr>
            </w:pPr>
            <w:r>
              <w:rPr>
                <w:rStyle w:val="20"/>
                <w:rFonts w:hint="default" w:ascii="Times New Roman" w:hAnsi="Times New Roman" w:eastAsia="SimSun" w:cs="Times New Roman"/>
                <w:color w:val="auto"/>
                <w:kern w:val="0"/>
                <w:sz w:val="22"/>
                <w:szCs w:val="22"/>
                <w:lang w:val="en-US" w:eastAsia="zh-CN" w:bidi="ar"/>
              </w:rPr>
              <w:t>100.0</w:t>
            </w:r>
          </w:p>
        </w:tc>
      </w:tr>
      <w:tr w14:paraId="4C633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A960FD">
            <w:pPr>
              <w:keepNext w:val="0"/>
              <w:keepLines w:val="0"/>
              <w:widowControl/>
              <w:suppressLineNumbers w:val="0"/>
              <w:jc w:val="left"/>
              <w:rPr>
                <w:rFonts w:hint="default" w:ascii="Times New Roman" w:hAnsi="Times New Roman" w:cs="Times New Roman"/>
                <w:sz w:val="22"/>
                <w:szCs w:val="22"/>
              </w:rPr>
            </w:pPr>
            <w:r>
              <w:rPr>
                <w:rStyle w:val="20"/>
                <w:rFonts w:hint="default" w:ascii="Times New Roman" w:hAnsi="Times New Roman" w:eastAsia="SimSun" w:cs="Times New Roman"/>
                <w:color w:val="auto"/>
                <w:kern w:val="0"/>
                <w:sz w:val="22"/>
                <w:szCs w:val="22"/>
                <w:lang w:val="en-US" w:eastAsia="zh-CN" w:bidi="ar"/>
              </w:rPr>
              <w:t>Academic discipline</w:t>
            </w:r>
          </w:p>
        </w:tc>
        <w:tc>
          <w:tcPr>
            <w:tcW w:w="0" w:type="auto"/>
            <w:shd w:val="clear" w:color="auto" w:fill="auto"/>
            <w:vAlign w:val="center"/>
          </w:tcPr>
          <w:p w14:paraId="7673818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Science, Engineering, and Technology</w:t>
            </w:r>
          </w:p>
        </w:tc>
        <w:tc>
          <w:tcPr>
            <w:tcW w:w="0" w:type="auto"/>
            <w:shd w:val="clear" w:color="auto" w:fill="auto"/>
            <w:vAlign w:val="center"/>
          </w:tcPr>
          <w:p w14:paraId="5773914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156</w:t>
            </w:r>
          </w:p>
        </w:tc>
        <w:tc>
          <w:tcPr>
            <w:tcW w:w="0" w:type="auto"/>
            <w:shd w:val="clear" w:color="auto" w:fill="auto"/>
            <w:vAlign w:val="center"/>
          </w:tcPr>
          <w:p w14:paraId="34D8C2D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29.2</w:t>
            </w:r>
          </w:p>
        </w:tc>
      </w:tr>
      <w:tr w14:paraId="139F5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AB8252">
            <w:pPr>
              <w:keepNext w:val="0"/>
              <w:keepLines w:val="0"/>
              <w:widowControl/>
              <w:suppressLineNumbers w:val="0"/>
              <w:jc w:val="left"/>
              <w:rPr>
                <w:rFonts w:hint="default" w:ascii="Times New Roman" w:hAnsi="Times New Roman" w:cs="Times New Roman"/>
                <w:sz w:val="22"/>
                <w:szCs w:val="22"/>
              </w:rPr>
            </w:pPr>
          </w:p>
        </w:tc>
        <w:tc>
          <w:tcPr>
            <w:tcW w:w="0" w:type="auto"/>
            <w:shd w:val="clear" w:color="auto" w:fill="auto"/>
            <w:vAlign w:val="center"/>
          </w:tcPr>
          <w:p w14:paraId="7D803AD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Business, Commerce, Economics, and Finance</w:t>
            </w:r>
          </w:p>
        </w:tc>
        <w:tc>
          <w:tcPr>
            <w:tcW w:w="0" w:type="auto"/>
            <w:shd w:val="clear" w:color="auto" w:fill="auto"/>
            <w:vAlign w:val="center"/>
          </w:tcPr>
          <w:p w14:paraId="7C3BC80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146</w:t>
            </w:r>
          </w:p>
        </w:tc>
        <w:tc>
          <w:tcPr>
            <w:tcW w:w="0" w:type="auto"/>
            <w:shd w:val="clear" w:color="auto" w:fill="auto"/>
            <w:vAlign w:val="center"/>
          </w:tcPr>
          <w:p w14:paraId="1A2FA75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27.3</w:t>
            </w:r>
          </w:p>
        </w:tc>
      </w:tr>
      <w:tr w14:paraId="3A328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F7060E">
            <w:pPr>
              <w:keepNext w:val="0"/>
              <w:keepLines w:val="0"/>
              <w:widowControl/>
              <w:suppressLineNumbers w:val="0"/>
              <w:jc w:val="left"/>
              <w:rPr>
                <w:rFonts w:hint="default" w:ascii="Times New Roman" w:hAnsi="Times New Roman" w:cs="Times New Roman"/>
                <w:sz w:val="22"/>
                <w:szCs w:val="22"/>
              </w:rPr>
            </w:pPr>
          </w:p>
        </w:tc>
        <w:tc>
          <w:tcPr>
            <w:tcW w:w="0" w:type="auto"/>
            <w:shd w:val="clear" w:color="auto" w:fill="auto"/>
            <w:vAlign w:val="center"/>
          </w:tcPr>
          <w:p w14:paraId="10BF1AE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Arts, Humanities, Social Sciences, and Law</w:t>
            </w:r>
          </w:p>
        </w:tc>
        <w:tc>
          <w:tcPr>
            <w:tcW w:w="0" w:type="auto"/>
            <w:shd w:val="clear" w:color="auto" w:fill="auto"/>
            <w:vAlign w:val="center"/>
          </w:tcPr>
          <w:p w14:paraId="4234CBF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120</w:t>
            </w:r>
          </w:p>
        </w:tc>
        <w:tc>
          <w:tcPr>
            <w:tcW w:w="0" w:type="auto"/>
            <w:shd w:val="clear" w:color="auto" w:fill="auto"/>
            <w:vAlign w:val="center"/>
          </w:tcPr>
          <w:p w14:paraId="03D0D5C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22.4</w:t>
            </w:r>
          </w:p>
        </w:tc>
      </w:tr>
      <w:tr w14:paraId="1DB42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C48CC0">
            <w:pPr>
              <w:keepNext w:val="0"/>
              <w:keepLines w:val="0"/>
              <w:widowControl/>
              <w:suppressLineNumbers w:val="0"/>
              <w:jc w:val="left"/>
              <w:rPr>
                <w:rFonts w:hint="default" w:ascii="Times New Roman" w:hAnsi="Times New Roman" w:cs="Times New Roman"/>
                <w:sz w:val="22"/>
                <w:szCs w:val="22"/>
              </w:rPr>
            </w:pPr>
          </w:p>
        </w:tc>
        <w:tc>
          <w:tcPr>
            <w:tcW w:w="0" w:type="auto"/>
            <w:shd w:val="clear" w:color="auto" w:fill="auto"/>
            <w:vAlign w:val="center"/>
          </w:tcPr>
          <w:p w14:paraId="43D828A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Medical and Health Sciences</w:t>
            </w:r>
          </w:p>
        </w:tc>
        <w:tc>
          <w:tcPr>
            <w:tcW w:w="0" w:type="auto"/>
            <w:shd w:val="clear" w:color="auto" w:fill="auto"/>
            <w:vAlign w:val="center"/>
          </w:tcPr>
          <w:p w14:paraId="6024A7D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113</w:t>
            </w:r>
          </w:p>
        </w:tc>
        <w:tc>
          <w:tcPr>
            <w:tcW w:w="0" w:type="auto"/>
            <w:shd w:val="clear" w:color="auto" w:fill="auto"/>
            <w:vAlign w:val="center"/>
          </w:tcPr>
          <w:p w14:paraId="6E696C9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21.1</w:t>
            </w:r>
          </w:p>
        </w:tc>
      </w:tr>
      <w:tr w14:paraId="5BB84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F81942">
            <w:pPr>
              <w:keepNext w:val="0"/>
              <w:keepLines w:val="0"/>
              <w:widowControl/>
              <w:suppressLineNumbers w:val="0"/>
              <w:jc w:val="left"/>
              <w:rPr>
                <w:rFonts w:hint="default" w:ascii="Times New Roman" w:hAnsi="Times New Roman" w:cs="Times New Roman"/>
                <w:sz w:val="22"/>
                <w:szCs w:val="22"/>
              </w:rPr>
            </w:pPr>
          </w:p>
        </w:tc>
        <w:tc>
          <w:tcPr>
            <w:tcW w:w="0" w:type="auto"/>
            <w:shd w:val="clear" w:color="auto" w:fill="auto"/>
            <w:vAlign w:val="center"/>
          </w:tcPr>
          <w:p w14:paraId="33C1D268">
            <w:pPr>
              <w:keepNext w:val="0"/>
              <w:keepLines w:val="0"/>
              <w:widowControl/>
              <w:suppressLineNumbers w:val="0"/>
              <w:jc w:val="left"/>
              <w:rPr>
                <w:rFonts w:hint="default" w:ascii="Times New Roman" w:hAnsi="Times New Roman" w:cs="Times New Roman"/>
                <w:sz w:val="22"/>
                <w:szCs w:val="22"/>
              </w:rPr>
            </w:pPr>
            <w:r>
              <w:rPr>
                <w:rStyle w:val="20"/>
                <w:rFonts w:hint="default" w:ascii="Times New Roman" w:hAnsi="Times New Roman" w:eastAsia="SimSun" w:cs="Times New Roman"/>
                <w:color w:val="auto"/>
                <w:kern w:val="0"/>
                <w:sz w:val="22"/>
                <w:szCs w:val="22"/>
                <w:lang w:val="en-US" w:eastAsia="zh-CN" w:bidi="ar"/>
              </w:rPr>
              <w:t>Valid responses</w:t>
            </w:r>
          </w:p>
        </w:tc>
        <w:tc>
          <w:tcPr>
            <w:tcW w:w="0" w:type="auto"/>
            <w:shd w:val="clear" w:color="auto" w:fill="auto"/>
            <w:vAlign w:val="center"/>
          </w:tcPr>
          <w:p w14:paraId="48EA796C">
            <w:pPr>
              <w:keepNext w:val="0"/>
              <w:keepLines w:val="0"/>
              <w:widowControl/>
              <w:suppressLineNumbers w:val="0"/>
              <w:jc w:val="left"/>
              <w:rPr>
                <w:rFonts w:hint="default" w:ascii="Times New Roman" w:hAnsi="Times New Roman" w:cs="Times New Roman"/>
                <w:sz w:val="22"/>
                <w:szCs w:val="22"/>
              </w:rPr>
            </w:pPr>
            <w:r>
              <w:rPr>
                <w:rStyle w:val="20"/>
                <w:rFonts w:hint="default" w:ascii="Times New Roman" w:hAnsi="Times New Roman" w:eastAsia="SimSun" w:cs="Times New Roman"/>
                <w:color w:val="auto"/>
                <w:kern w:val="0"/>
                <w:sz w:val="22"/>
                <w:szCs w:val="22"/>
                <w:lang w:val="en-US" w:eastAsia="zh-CN" w:bidi="ar"/>
              </w:rPr>
              <w:t>535</w:t>
            </w:r>
          </w:p>
        </w:tc>
        <w:tc>
          <w:tcPr>
            <w:tcW w:w="0" w:type="auto"/>
            <w:shd w:val="clear" w:color="auto" w:fill="auto"/>
            <w:vAlign w:val="center"/>
          </w:tcPr>
          <w:p w14:paraId="4439D9EE">
            <w:pPr>
              <w:keepNext w:val="0"/>
              <w:keepLines w:val="0"/>
              <w:widowControl/>
              <w:suppressLineNumbers w:val="0"/>
              <w:jc w:val="left"/>
              <w:rPr>
                <w:rFonts w:hint="default" w:ascii="Times New Roman" w:hAnsi="Times New Roman" w:cs="Times New Roman"/>
                <w:sz w:val="22"/>
                <w:szCs w:val="22"/>
              </w:rPr>
            </w:pPr>
            <w:r>
              <w:rPr>
                <w:rStyle w:val="20"/>
                <w:rFonts w:hint="default" w:ascii="Times New Roman" w:hAnsi="Times New Roman" w:eastAsia="SimSun" w:cs="Times New Roman"/>
                <w:color w:val="auto"/>
                <w:kern w:val="0"/>
                <w:sz w:val="22"/>
                <w:szCs w:val="22"/>
                <w:lang w:val="en-US" w:eastAsia="zh-CN" w:bidi="ar"/>
              </w:rPr>
              <w:t>100.0</w:t>
            </w:r>
          </w:p>
        </w:tc>
      </w:tr>
      <w:tr w14:paraId="387B8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011D2F">
            <w:pPr>
              <w:keepNext w:val="0"/>
              <w:keepLines w:val="0"/>
              <w:widowControl/>
              <w:suppressLineNumbers w:val="0"/>
              <w:jc w:val="left"/>
              <w:rPr>
                <w:rFonts w:hint="default" w:ascii="Times New Roman" w:hAnsi="Times New Roman" w:cs="Times New Roman"/>
                <w:sz w:val="22"/>
                <w:szCs w:val="22"/>
              </w:rPr>
            </w:pPr>
            <w:r>
              <w:rPr>
                <w:rStyle w:val="20"/>
                <w:rFonts w:hint="default" w:ascii="Times New Roman" w:hAnsi="Times New Roman" w:eastAsia="SimSun" w:cs="Times New Roman"/>
                <w:color w:val="auto"/>
                <w:kern w:val="0"/>
                <w:sz w:val="22"/>
                <w:szCs w:val="22"/>
                <w:lang w:val="en-US" w:eastAsia="zh-CN" w:bidi="ar"/>
              </w:rPr>
              <w:t>Monthly income</w:t>
            </w:r>
          </w:p>
        </w:tc>
        <w:tc>
          <w:tcPr>
            <w:tcW w:w="0" w:type="auto"/>
            <w:shd w:val="clear" w:color="auto" w:fill="auto"/>
            <w:vAlign w:val="center"/>
          </w:tcPr>
          <w:p w14:paraId="2DCE5A6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Below BDT 5,000</w:t>
            </w:r>
          </w:p>
        </w:tc>
        <w:tc>
          <w:tcPr>
            <w:tcW w:w="0" w:type="auto"/>
            <w:shd w:val="clear" w:color="auto" w:fill="auto"/>
            <w:vAlign w:val="center"/>
          </w:tcPr>
          <w:p w14:paraId="3E2E8F4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69</w:t>
            </w:r>
          </w:p>
        </w:tc>
        <w:tc>
          <w:tcPr>
            <w:tcW w:w="0" w:type="auto"/>
            <w:shd w:val="clear" w:color="auto" w:fill="auto"/>
            <w:vAlign w:val="center"/>
          </w:tcPr>
          <w:p w14:paraId="1EB8965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12.8</w:t>
            </w:r>
          </w:p>
        </w:tc>
      </w:tr>
      <w:tr w14:paraId="38951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FF78CF">
            <w:pPr>
              <w:keepNext w:val="0"/>
              <w:keepLines w:val="0"/>
              <w:widowControl/>
              <w:suppressLineNumbers w:val="0"/>
              <w:jc w:val="left"/>
              <w:rPr>
                <w:rFonts w:hint="default" w:ascii="Times New Roman" w:hAnsi="Times New Roman" w:cs="Times New Roman"/>
                <w:sz w:val="22"/>
                <w:szCs w:val="22"/>
              </w:rPr>
            </w:pPr>
          </w:p>
        </w:tc>
        <w:tc>
          <w:tcPr>
            <w:tcW w:w="0" w:type="auto"/>
            <w:shd w:val="clear" w:color="auto" w:fill="auto"/>
            <w:vAlign w:val="center"/>
          </w:tcPr>
          <w:p w14:paraId="4680A44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BDT 5,000–10,000</w:t>
            </w:r>
          </w:p>
        </w:tc>
        <w:tc>
          <w:tcPr>
            <w:tcW w:w="0" w:type="auto"/>
            <w:shd w:val="clear" w:color="auto" w:fill="auto"/>
            <w:vAlign w:val="center"/>
          </w:tcPr>
          <w:p w14:paraId="0152A4D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220</w:t>
            </w:r>
          </w:p>
        </w:tc>
        <w:tc>
          <w:tcPr>
            <w:tcW w:w="0" w:type="auto"/>
            <w:shd w:val="clear" w:color="auto" w:fill="auto"/>
            <w:vAlign w:val="center"/>
          </w:tcPr>
          <w:p w14:paraId="6DCE729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41.0</w:t>
            </w:r>
          </w:p>
        </w:tc>
      </w:tr>
      <w:tr w14:paraId="1699D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B12BF8">
            <w:pPr>
              <w:keepNext w:val="0"/>
              <w:keepLines w:val="0"/>
              <w:widowControl/>
              <w:suppressLineNumbers w:val="0"/>
              <w:jc w:val="left"/>
              <w:rPr>
                <w:rFonts w:hint="default" w:ascii="Times New Roman" w:hAnsi="Times New Roman" w:cs="Times New Roman"/>
                <w:sz w:val="22"/>
                <w:szCs w:val="22"/>
              </w:rPr>
            </w:pPr>
          </w:p>
        </w:tc>
        <w:tc>
          <w:tcPr>
            <w:tcW w:w="0" w:type="auto"/>
            <w:shd w:val="clear" w:color="auto" w:fill="auto"/>
            <w:vAlign w:val="center"/>
          </w:tcPr>
          <w:p w14:paraId="16F88A2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BDT 10,001–20,000</w:t>
            </w:r>
          </w:p>
        </w:tc>
        <w:tc>
          <w:tcPr>
            <w:tcW w:w="0" w:type="auto"/>
            <w:shd w:val="clear" w:color="auto" w:fill="auto"/>
            <w:vAlign w:val="center"/>
          </w:tcPr>
          <w:p w14:paraId="7281CA5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157</w:t>
            </w:r>
          </w:p>
        </w:tc>
        <w:tc>
          <w:tcPr>
            <w:tcW w:w="0" w:type="auto"/>
            <w:shd w:val="clear" w:color="auto" w:fill="auto"/>
            <w:vAlign w:val="center"/>
          </w:tcPr>
          <w:p w14:paraId="78CEF24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29.2</w:t>
            </w:r>
          </w:p>
        </w:tc>
      </w:tr>
      <w:tr w14:paraId="596CF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0386F5">
            <w:pPr>
              <w:keepNext w:val="0"/>
              <w:keepLines w:val="0"/>
              <w:widowControl/>
              <w:suppressLineNumbers w:val="0"/>
              <w:jc w:val="left"/>
              <w:rPr>
                <w:rFonts w:hint="default" w:ascii="Times New Roman" w:hAnsi="Times New Roman" w:cs="Times New Roman"/>
                <w:sz w:val="22"/>
                <w:szCs w:val="22"/>
              </w:rPr>
            </w:pPr>
          </w:p>
        </w:tc>
        <w:tc>
          <w:tcPr>
            <w:tcW w:w="0" w:type="auto"/>
            <w:shd w:val="clear" w:color="auto" w:fill="auto"/>
            <w:vAlign w:val="center"/>
          </w:tcPr>
          <w:p w14:paraId="384C5F5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Above BDT 20,000</w:t>
            </w:r>
          </w:p>
        </w:tc>
        <w:tc>
          <w:tcPr>
            <w:tcW w:w="0" w:type="auto"/>
            <w:shd w:val="clear" w:color="auto" w:fill="auto"/>
            <w:vAlign w:val="center"/>
          </w:tcPr>
          <w:p w14:paraId="1CC3391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91</w:t>
            </w:r>
          </w:p>
        </w:tc>
        <w:tc>
          <w:tcPr>
            <w:tcW w:w="0" w:type="auto"/>
            <w:shd w:val="clear" w:color="auto" w:fill="auto"/>
            <w:vAlign w:val="center"/>
          </w:tcPr>
          <w:p w14:paraId="61493DA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16.9</w:t>
            </w:r>
          </w:p>
        </w:tc>
      </w:tr>
      <w:tr w14:paraId="3F7B6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A50303">
            <w:pPr>
              <w:keepNext w:val="0"/>
              <w:keepLines w:val="0"/>
              <w:widowControl/>
              <w:suppressLineNumbers w:val="0"/>
              <w:jc w:val="left"/>
              <w:rPr>
                <w:rFonts w:hint="default" w:ascii="Times New Roman" w:hAnsi="Times New Roman" w:cs="Times New Roman"/>
                <w:sz w:val="22"/>
                <w:szCs w:val="22"/>
              </w:rPr>
            </w:pPr>
          </w:p>
        </w:tc>
        <w:tc>
          <w:tcPr>
            <w:tcW w:w="0" w:type="auto"/>
            <w:shd w:val="clear" w:color="auto" w:fill="auto"/>
            <w:vAlign w:val="center"/>
          </w:tcPr>
          <w:p w14:paraId="418E109B">
            <w:pPr>
              <w:keepNext w:val="0"/>
              <w:keepLines w:val="0"/>
              <w:widowControl/>
              <w:suppressLineNumbers w:val="0"/>
              <w:jc w:val="left"/>
              <w:rPr>
                <w:rFonts w:hint="default" w:ascii="Times New Roman" w:hAnsi="Times New Roman" w:cs="Times New Roman"/>
                <w:sz w:val="22"/>
                <w:szCs w:val="22"/>
              </w:rPr>
            </w:pPr>
            <w:r>
              <w:rPr>
                <w:rStyle w:val="20"/>
                <w:rFonts w:hint="default" w:ascii="Times New Roman" w:hAnsi="Times New Roman" w:eastAsia="SimSun" w:cs="Times New Roman"/>
                <w:color w:val="auto"/>
                <w:kern w:val="0"/>
                <w:sz w:val="22"/>
                <w:szCs w:val="22"/>
                <w:lang w:val="en-US" w:eastAsia="zh-CN" w:bidi="ar"/>
              </w:rPr>
              <w:t>Total</w:t>
            </w:r>
          </w:p>
        </w:tc>
        <w:tc>
          <w:tcPr>
            <w:tcW w:w="0" w:type="auto"/>
            <w:shd w:val="clear" w:color="auto" w:fill="auto"/>
            <w:vAlign w:val="center"/>
          </w:tcPr>
          <w:p w14:paraId="4C86DCA8">
            <w:pPr>
              <w:keepNext w:val="0"/>
              <w:keepLines w:val="0"/>
              <w:widowControl/>
              <w:suppressLineNumbers w:val="0"/>
              <w:jc w:val="left"/>
              <w:rPr>
                <w:rFonts w:hint="default" w:ascii="Times New Roman" w:hAnsi="Times New Roman" w:cs="Times New Roman"/>
                <w:sz w:val="22"/>
                <w:szCs w:val="22"/>
              </w:rPr>
            </w:pPr>
            <w:r>
              <w:rPr>
                <w:rStyle w:val="20"/>
                <w:rFonts w:hint="default" w:ascii="Times New Roman" w:hAnsi="Times New Roman" w:eastAsia="SimSun" w:cs="Times New Roman"/>
                <w:color w:val="auto"/>
                <w:kern w:val="0"/>
                <w:sz w:val="22"/>
                <w:szCs w:val="22"/>
                <w:lang w:val="en-US" w:eastAsia="zh-CN" w:bidi="ar"/>
              </w:rPr>
              <w:t>537</w:t>
            </w:r>
          </w:p>
        </w:tc>
        <w:tc>
          <w:tcPr>
            <w:tcW w:w="0" w:type="auto"/>
            <w:shd w:val="clear" w:color="auto" w:fill="auto"/>
            <w:vAlign w:val="center"/>
          </w:tcPr>
          <w:p w14:paraId="368A3C62">
            <w:pPr>
              <w:keepNext w:val="0"/>
              <w:keepLines w:val="0"/>
              <w:widowControl/>
              <w:suppressLineNumbers w:val="0"/>
              <w:jc w:val="left"/>
              <w:rPr>
                <w:rFonts w:hint="default" w:ascii="Times New Roman" w:hAnsi="Times New Roman" w:cs="Times New Roman"/>
                <w:sz w:val="22"/>
                <w:szCs w:val="22"/>
              </w:rPr>
            </w:pPr>
            <w:r>
              <w:rPr>
                <w:rStyle w:val="20"/>
                <w:rFonts w:hint="default" w:ascii="Times New Roman" w:hAnsi="Times New Roman" w:eastAsia="SimSun" w:cs="Times New Roman"/>
                <w:color w:val="auto"/>
                <w:kern w:val="0"/>
                <w:sz w:val="22"/>
                <w:szCs w:val="22"/>
                <w:lang w:val="en-US" w:eastAsia="zh-CN" w:bidi="ar"/>
              </w:rPr>
              <w:t>100.0</w:t>
            </w:r>
            <w:r>
              <w:rPr>
                <w:rFonts w:hint="default" w:ascii="Times New Roman" w:hAnsi="Times New Roman" w:eastAsia="SimSun" w:cs="Times New Roman"/>
                <w:color w:val="auto"/>
                <w:kern w:val="0"/>
                <w:sz w:val="22"/>
                <w:szCs w:val="22"/>
                <w:lang w:val="en-US" w:eastAsia="zh-CN" w:bidi="ar"/>
              </w:rPr>
              <w:t>*</w:t>
            </w:r>
          </w:p>
        </w:tc>
      </w:tr>
      <w:tr w14:paraId="2B648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F2A1B2">
            <w:pPr>
              <w:keepNext w:val="0"/>
              <w:keepLines w:val="0"/>
              <w:widowControl/>
              <w:suppressLineNumbers w:val="0"/>
              <w:jc w:val="left"/>
              <w:rPr>
                <w:rFonts w:hint="default" w:ascii="Times New Roman" w:hAnsi="Times New Roman" w:cs="Times New Roman"/>
                <w:sz w:val="22"/>
                <w:szCs w:val="22"/>
              </w:rPr>
            </w:pPr>
            <w:r>
              <w:rPr>
                <w:rStyle w:val="20"/>
                <w:rFonts w:hint="default" w:ascii="Times New Roman" w:hAnsi="Times New Roman" w:eastAsia="SimSun" w:cs="Times New Roman"/>
                <w:color w:val="auto"/>
                <w:kern w:val="0"/>
                <w:sz w:val="22"/>
                <w:szCs w:val="22"/>
                <w:lang w:val="en-US" w:eastAsia="zh-CN" w:bidi="ar"/>
              </w:rPr>
              <w:t>Monthly expenditure</w:t>
            </w:r>
          </w:p>
        </w:tc>
        <w:tc>
          <w:tcPr>
            <w:tcW w:w="0" w:type="auto"/>
            <w:shd w:val="clear" w:color="auto" w:fill="auto"/>
            <w:vAlign w:val="center"/>
          </w:tcPr>
          <w:p w14:paraId="29E790A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Below BDT 5,000</w:t>
            </w:r>
          </w:p>
        </w:tc>
        <w:tc>
          <w:tcPr>
            <w:tcW w:w="0" w:type="auto"/>
            <w:shd w:val="clear" w:color="auto" w:fill="auto"/>
            <w:vAlign w:val="center"/>
          </w:tcPr>
          <w:p w14:paraId="535C505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176</w:t>
            </w:r>
          </w:p>
        </w:tc>
        <w:tc>
          <w:tcPr>
            <w:tcW w:w="0" w:type="auto"/>
            <w:shd w:val="clear" w:color="auto" w:fill="auto"/>
            <w:vAlign w:val="center"/>
          </w:tcPr>
          <w:p w14:paraId="01ABA7C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32.8</w:t>
            </w:r>
          </w:p>
        </w:tc>
      </w:tr>
      <w:tr w14:paraId="312B7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EB0A68">
            <w:pPr>
              <w:keepNext w:val="0"/>
              <w:keepLines w:val="0"/>
              <w:widowControl/>
              <w:suppressLineNumbers w:val="0"/>
              <w:jc w:val="left"/>
              <w:rPr>
                <w:rFonts w:hint="default" w:ascii="Times New Roman" w:hAnsi="Times New Roman" w:cs="Times New Roman"/>
                <w:sz w:val="22"/>
                <w:szCs w:val="22"/>
              </w:rPr>
            </w:pPr>
          </w:p>
        </w:tc>
        <w:tc>
          <w:tcPr>
            <w:tcW w:w="0" w:type="auto"/>
            <w:shd w:val="clear" w:color="auto" w:fill="auto"/>
            <w:vAlign w:val="center"/>
          </w:tcPr>
          <w:p w14:paraId="0DAA765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BDT 5,000–10,000</w:t>
            </w:r>
          </w:p>
        </w:tc>
        <w:tc>
          <w:tcPr>
            <w:tcW w:w="0" w:type="auto"/>
            <w:shd w:val="clear" w:color="auto" w:fill="auto"/>
            <w:vAlign w:val="center"/>
          </w:tcPr>
          <w:p w14:paraId="7E9C42B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224</w:t>
            </w:r>
          </w:p>
        </w:tc>
        <w:tc>
          <w:tcPr>
            <w:tcW w:w="0" w:type="auto"/>
            <w:shd w:val="clear" w:color="auto" w:fill="auto"/>
            <w:vAlign w:val="center"/>
          </w:tcPr>
          <w:p w14:paraId="748F8CD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41.7</w:t>
            </w:r>
          </w:p>
        </w:tc>
      </w:tr>
      <w:tr w14:paraId="48790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00F40D">
            <w:pPr>
              <w:keepNext w:val="0"/>
              <w:keepLines w:val="0"/>
              <w:widowControl/>
              <w:suppressLineNumbers w:val="0"/>
              <w:jc w:val="left"/>
              <w:rPr>
                <w:rFonts w:hint="default" w:ascii="Times New Roman" w:hAnsi="Times New Roman" w:cs="Times New Roman"/>
                <w:sz w:val="22"/>
                <w:szCs w:val="22"/>
              </w:rPr>
            </w:pPr>
          </w:p>
        </w:tc>
        <w:tc>
          <w:tcPr>
            <w:tcW w:w="0" w:type="auto"/>
            <w:shd w:val="clear" w:color="auto" w:fill="auto"/>
            <w:vAlign w:val="center"/>
          </w:tcPr>
          <w:p w14:paraId="448A40F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BDT 10,001–20,000</w:t>
            </w:r>
          </w:p>
        </w:tc>
        <w:tc>
          <w:tcPr>
            <w:tcW w:w="0" w:type="auto"/>
            <w:shd w:val="clear" w:color="auto" w:fill="auto"/>
            <w:vAlign w:val="center"/>
          </w:tcPr>
          <w:p w14:paraId="3FE02EA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94</w:t>
            </w:r>
          </w:p>
        </w:tc>
        <w:tc>
          <w:tcPr>
            <w:tcW w:w="0" w:type="auto"/>
            <w:shd w:val="clear" w:color="auto" w:fill="auto"/>
            <w:vAlign w:val="center"/>
          </w:tcPr>
          <w:p w14:paraId="498EEA6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17.5</w:t>
            </w:r>
          </w:p>
        </w:tc>
      </w:tr>
      <w:tr w14:paraId="435A1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83D51F">
            <w:pPr>
              <w:keepNext w:val="0"/>
              <w:keepLines w:val="0"/>
              <w:widowControl/>
              <w:suppressLineNumbers w:val="0"/>
              <w:jc w:val="left"/>
              <w:rPr>
                <w:rFonts w:hint="default" w:ascii="Times New Roman" w:hAnsi="Times New Roman" w:cs="Times New Roman"/>
                <w:sz w:val="22"/>
                <w:szCs w:val="22"/>
              </w:rPr>
            </w:pPr>
          </w:p>
        </w:tc>
        <w:tc>
          <w:tcPr>
            <w:tcW w:w="0" w:type="auto"/>
            <w:shd w:val="clear" w:color="auto" w:fill="auto"/>
            <w:vAlign w:val="center"/>
          </w:tcPr>
          <w:p w14:paraId="5469D52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Above BDT 20,000</w:t>
            </w:r>
          </w:p>
        </w:tc>
        <w:tc>
          <w:tcPr>
            <w:tcW w:w="0" w:type="auto"/>
            <w:shd w:val="clear" w:color="auto" w:fill="auto"/>
            <w:vAlign w:val="center"/>
          </w:tcPr>
          <w:p w14:paraId="26CC4EB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43</w:t>
            </w:r>
          </w:p>
        </w:tc>
        <w:tc>
          <w:tcPr>
            <w:tcW w:w="0" w:type="auto"/>
            <w:shd w:val="clear" w:color="auto" w:fill="auto"/>
            <w:vAlign w:val="center"/>
          </w:tcPr>
          <w:p w14:paraId="2228A74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8.0</w:t>
            </w:r>
          </w:p>
        </w:tc>
      </w:tr>
      <w:tr w14:paraId="28CD0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B8879E">
            <w:pPr>
              <w:keepNext w:val="0"/>
              <w:keepLines w:val="0"/>
              <w:widowControl/>
              <w:suppressLineNumbers w:val="0"/>
              <w:jc w:val="left"/>
              <w:rPr>
                <w:rFonts w:hint="default" w:ascii="Times New Roman" w:hAnsi="Times New Roman" w:cs="Times New Roman"/>
                <w:sz w:val="22"/>
                <w:szCs w:val="22"/>
              </w:rPr>
            </w:pPr>
          </w:p>
        </w:tc>
        <w:tc>
          <w:tcPr>
            <w:tcW w:w="0" w:type="auto"/>
            <w:shd w:val="clear" w:color="auto" w:fill="auto"/>
            <w:vAlign w:val="center"/>
          </w:tcPr>
          <w:p w14:paraId="57BCA576">
            <w:pPr>
              <w:keepNext w:val="0"/>
              <w:keepLines w:val="0"/>
              <w:widowControl/>
              <w:suppressLineNumbers w:val="0"/>
              <w:jc w:val="left"/>
              <w:rPr>
                <w:rFonts w:hint="default" w:ascii="Times New Roman" w:hAnsi="Times New Roman" w:cs="Times New Roman"/>
                <w:sz w:val="22"/>
                <w:szCs w:val="22"/>
              </w:rPr>
            </w:pPr>
            <w:r>
              <w:rPr>
                <w:rStyle w:val="20"/>
                <w:rFonts w:hint="default" w:ascii="Times New Roman" w:hAnsi="Times New Roman" w:eastAsia="SimSun" w:cs="Times New Roman"/>
                <w:color w:val="auto"/>
                <w:kern w:val="0"/>
                <w:sz w:val="22"/>
                <w:szCs w:val="22"/>
                <w:lang w:val="en-US" w:eastAsia="zh-CN" w:bidi="ar"/>
              </w:rPr>
              <w:t>Total</w:t>
            </w:r>
          </w:p>
        </w:tc>
        <w:tc>
          <w:tcPr>
            <w:tcW w:w="0" w:type="auto"/>
            <w:shd w:val="clear" w:color="auto" w:fill="auto"/>
            <w:vAlign w:val="center"/>
          </w:tcPr>
          <w:p w14:paraId="0EB19E03">
            <w:pPr>
              <w:keepNext w:val="0"/>
              <w:keepLines w:val="0"/>
              <w:widowControl/>
              <w:suppressLineNumbers w:val="0"/>
              <w:jc w:val="left"/>
              <w:rPr>
                <w:rFonts w:hint="default" w:ascii="Times New Roman" w:hAnsi="Times New Roman" w:cs="Times New Roman"/>
                <w:sz w:val="22"/>
                <w:szCs w:val="22"/>
              </w:rPr>
            </w:pPr>
            <w:r>
              <w:rPr>
                <w:rStyle w:val="20"/>
                <w:rFonts w:hint="default" w:ascii="Times New Roman" w:hAnsi="Times New Roman" w:eastAsia="SimSun" w:cs="Times New Roman"/>
                <w:color w:val="auto"/>
                <w:kern w:val="0"/>
                <w:sz w:val="22"/>
                <w:szCs w:val="22"/>
                <w:lang w:val="en-US" w:eastAsia="zh-CN" w:bidi="ar"/>
              </w:rPr>
              <w:t>537</w:t>
            </w:r>
          </w:p>
        </w:tc>
        <w:tc>
          <w:tcPr>
            <w:tcW w:w="0" w:type="auto"/>
            <w:shd w:val="clear" w:color="auto" w:fill="auto"/>
            <w:vAlign w:val="center"/>
          </w:tcPr>
          <w:p w14:paraId="1112AF77">
            <w:pPr>
              <w:keepNext w:val="0"/>
              <w:keepLines w:val="0"/>
              <w:widowControl/>
              <w:suppressLineNumbers w:val="0"/>
              <w:jc w:val="left"/>
              <w:rPr>
                <w:rFonts w:hint="default" w:ascii="Times New Roman" w:hAnsi="Times New Roman" w:cs="Times New Roman"/>
                <w:sz w:val="22"/>
                <w:szCs w:val="22"/>
              </w:rPr>
            </w:pPr>
            <w:r>
              <w:rPr>
                <w:rStyle w:val="20"/>
                <w:rFonts w:hint="default" w:ascii="Times New Roman" w:hAnsi="Times New Roman" w:eastAsia="SimSun" w:cs="Times New Roman"/>
                <w:color w:val="auto"/>
                <w:kern w:val="0"/>
                <w:sz w:val="22"/>
                <w:szCs w:val="22"/>
                <w:lang w:val="en-US" w:eastAsia="zh-CN" w:bidi="ar"/>
              </w:rPr>
              <w:t>100.0</w:t>
            </w:r>
          </w:p>
        </w:tc>
      </w:tr>
      <w:tr w14:paraId="03F3F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6F903F">
            <w:pPr>
              <w:keepNext w:val="0"/>
              <w:keepLines w:val="0"/>
              <w:widowControl/>
              <w:suppressLineNumbers w:val="0"/>
              <w:jc w:val="left"/>
              <w:rPr>
                <w:rFonts w:hint="default" w:ascii="Times New Roman" w:hAnsi="Times New Roman" w:cs="Times New Roman"/>
                <w:sz w:val="22"/>
                <w:szCs w:val="22"/>
              </w:rPr>
            </w:pPr>
            <w:r>
              <w:rPr>
                <w:rStyle w:val="20"/>
                <w:rFonts w:hint="default" w:ascii="Times New Roman" w:hAnsi="Times New Roman" w:eastAsia="SimSun" w:cs="Times New Roman"/>
                <w:color w:val="auto"/>
                <w:kern w:val="0"/>
                <w:sz w:val="22"/>
                <w:szCs w:val="22"/>
                <w:lang w:val="en-US" w:eastAsia="zh-CN" w:bidi="ar"/>
              </w:rPr>
              <w:t>Month-end financial status</w:t>
            </w:r>
          </w:p>
        </w:tc>
        <w:tc>
          <w:tcPr>
            <w:tcW w:w="0" w:type="auto"/>
            <w:shd w:val="clear" w:color="auto" w:fill="auto"/>
            <w:vAlign w:val="center"/>
          </w:tcPr>
          <w:p w14:paraId="3CEAF1F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Money remaining or able to save</w:t>
            </w:r>
          </w:p>
        </w:tc>
        <w:tc>
          <w:tcPr>
            <w:tcW w:w="0" w:type="auto"/>
            <w:shd w:val="clear" w:color="auto" w:fill="auto"/>
            <w:vAlign w:val="center"/>
          </w:tcPr>
          <w:p w14:paraId="526A002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290</w:t>
            </w:r>
          </w:p>
        </w:tc>
        <w:tc>
          <w:tcPr>
            <w:tcW w:w="0" w:type="auto"/>
            <w:shd w:val="clear" w:color="auto" w:fill="auto"/>
            <w:vAlign w:val="center"/>
          </w:tcPr>
          <w:p w14:paraId="7D172CA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54.0</w:t>
            </w:r>
          </w:p>
        </w:tc>
      </w:tr>
      <w:tr w14:paraId="32194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C6F9C1">
            <w:pPr>
              <w:keepNext w:val="0"/>
              <w:keepLines w:val="0"/>
              <w:widowControl/>
              <w:suppressLineNumbers w:val="0"/>
              <w:jc w:val="left"/>
              <w:rPr>
                <w:rFonts w:hint="default" w:ascii="Times New Roman" w:hAnsi="Times New Roman" w:cs="Times New Roman"/>
                <w:sz w:val="22"/>
                <w:szCs w:val="22"/>
              </w:rPr>
            </w:pPr>
          </w:p>
        </w:tc>
        <w:tc>
          <w:tcPr>
            <w:tcW w:w="0" w:type="auto"/>
            <w:shd w:val="clear" w:color="auto" w:fill="auto"/>
            <w:vAlign w:val="center"/>
          </w:tcPr>
          <w:p w14:paraId="6060534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Spent nearly all available money without borrowing</w:t>
            </w:r>
          </w:p>
        </w:tc>
        <w:tc>
          <w:tcPr>
            <w:tcW w:w="0" w:type="auto"/>
            <w:shd w:val="clear" w:color="auto" w:fill="auto"/>
            <w:vAlign w:val="center"/>
          </w:tcPr>
          <w:p w14:paraId="021AE21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163</w:t>
            </w:r>
          </w:p>
        </w:tc>
        <w:tc>
          <w:tcPr>
            <w:tcW w:w="0" w:type="auto"/>
            <w:shd w:val="clear" w:color="auto" w:fill="auto"/>
            <w:vAlign w:val="center"/>
          </w:tcPr>
          <w:p w14:paraId="133B46B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30.4</w:t>
            </w:r>
          </w:p>
        </w:tc>
      </w:tr>
      <w:tr w14:paraId="0A31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AA061D">
            <w:pPr>
              <w:keepNext w:val="0"/>
              <w:keepLines w:val="0"/>
              <w:widowControl/>
              <w:suppressLineNumbers w:val="0"/>
              <w:jc w:val="left"/>
              <w:rPr>
                <w:rFonts w:hint="default" w:ascii="Times New Roman" w:hAnsi="Times New Roman" w:cs="Times New Roman"/>
                <w:sz w:val="22"/>
                <w:szCs w:val="22"/>
              </w:rPr>
            </w:pPr>
          </w:p>
        </w:tc>
        <w:tc>
          <w:tcPr>
            <w:tcW w:w="0" w:type="auto"/>
            <w:shd w:val="clear" w:color="auto" w:fill="auto"/>
            <w:vAlign w:val="center"/>
          </w:tcPr>
          <w:p w14:paraId="3D916CA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Frequently experienced financial shortages or borrowed money</w:t>
            </w:r>
          </w:p>
        </w:tc>
        <w:tc>
          <w:tcPr>
            <w:tcW w:w="0" w:type="auto"/>
            <w:shd w:val="clear" w:color="auto" w:fill="auto"/>
            <w:vAlign w:val="center"/>
          </w:tcPr>
          <w:p w14:paraId="7216901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84</w:t>
            </w:r>
          </w:p>
        </w:tc>
        <w:tc>
          <w:tcPr>
            <w:tcW w:w="0" w:type="auto"/>
            <w:shd w:val="clear" w:color="auto" w:fill="auto"/>
            <w:vAlign w:val="center"/>
          </w:tcPr>
          <w:p w14:paraId="053E749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15.6</w:t>
            </w:r>
          </w:p>
        </w:tc>
      </w:tr>
      <w:tr w14:paraId="39DC4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1CA91D">
            <w:pPr>
              <w:keepNext w:val="0"/>
              <w:keepLines w:val="0"/>
              <w:widowControl/>
              <w:suppressLineNumbers w:val="0"/>
              <w:jc w:val="left"/>
              <w:rPr>
                <w:rFonts w:hint="default" w:ascii="Times New Roman" w:hAnsi="Times New Roman" w:cs="Times New Roman"/>
                <w:sz w:val="22"/>
                <w:szCs w:val="22"/>
              </w:rPr>
            </w:pPr>
          </w:p>
        </w:tc>
        <w:tc>
          <w:tcPr>
            <w:tcW w:w="0" w:type="auto"/>
            <w:shd w:val="clear" w:color="auto" w:fill="auto"/>
            <w:vAlign w:val="center"/>
          </w:tcPr>
          <w:p w14:paraId="35A17F98">
            <w:pPr>
              <w:keepNext w:val="0"/>
              <w:keepLines w:val="0"/>
              <w:widowControl/>
              <w:suppressLineNumbers w:val="0"/>
              <w:jc w:val="left"/>
              <w:rPr>
                <w:rFonts w:hint="default" w:ascii="Times New Roman" w:hAnsi="Times New Roman" w:cs="Times New Roman"/>
                <w:sz w:val="22"/>
                <w:szCs w:val="22"/>
              </w:rPr>
            </w:pPr>
            <w:r>
              <w:rPr>
                <w:rStyle w:val="20"/>
                <w:rFonts w:hint="default" w:ascii="Times New Roman" w:hAnsi="Times New Roman" w:eastAsia="SimSun" w:cs="Times New Roman"/>
                <w:color w:val="auto"/>
                <w:kern w:val="0"/>
                <w:sz w:val="22"/>
                <w:szCs w:val="22"/>
                <w:lang w:val="en-US" w:eastAsia="zh-CN" w:bidi="ar"/>
              </w:rPr>
              <w:t>Total</w:t>
            </w:r>
          </w:p>
        </w:tc>
        <w:tc>
          <w:tcPr>
            <w:tcW w:w="0" w:type="auto"/>
            <w:shd w:val="clear" w:color="auto" w:fill="auto"/>
            <w:vAlign w:val="center"/>
          </w:tcPr>
          <w:p w14:paraId="69EB73E2">
            <w:pPr>
              <w:keepNext w:val="0"/>
              <w:keepLines w:val="0"/>
              <w:widowControl/>
              <w:suppressLineNumbers w:val="0"/>
              <w:jc w:val="left"/>
              <w:rPr>
                <w:rFonts w:hint="default" w:ascii="Times New Roman" w:hAnsi="Times New Roman" w:cs="Times New Roman"/>
                <w:sz w:val="22"/>
                <w:szCs w:val="22"/>
              </w:rPr>
            </w:pPr>
            <w:r>
              <w:rPr>
                <w:rStyle w:val="20"/>
                <w:rFonts w:hint="default" w:ascii="Times New Roman" w:hAnsi="Times New Roman" w:eastAsia="SimSun" w:cs="Times New Roman"/>
                <w:color w:val="auto"/>
                <w:kern w:val="0"/>
                <w:sz w:val="22"/>
                <w:szCs w:val="22"/>
                <w:lang w:val="en-US" w:eastAsia="zh-CN" w:bidi="ar"/>
              </w:rPr>
              <w:t>537</w:t>
            </w:r>
          </w:p>
        </w:tc>
        <w:tc>
          <w:tcPr>
            <w:tcW w:w="0" w:type="auto"/>
            <w:shd w:val="clear" w:color="auto" w:fill="auto"/>
            <w:vAlign w:val="center"/>
          </w:tcPr>
          <w:p w14:paraId="7D42601C">
            <w:pPr>
              <w:keepNext w:val="0"/>
              <w:keepLines w:val="0"/>
              <w:widowControl/>
              <w:suppressLineNumbers w:val="0"/>
              <w:jc w:val="left"/>
              <w:rPr>
                <w:rFonts w:hint="default" w:ascii="Times New Roman" w:hAnsi="Times New Roman" w:cs="Times New Roman"/>
                <w:sz w:val="22"/>
                <w:szCs w:val="22"/>
              </w:rPr>
            </w:pPr>
            <w:r>
              <w:rPr>
                <w:rStyle w:val="20"/>
                <w:rFonts w:hint="default" w:ascii="Times New Roman" w:hAnsi="Times New Roman" w:eastAsia="SimSun" w:cs="Times New Roman"/>
                <w:color w:val="auto"/>
                <w:kern w:val="0"/>
                <w:sz w:val="22"/>
                <w:szCs w:val="22"/>
                <w:lang w:val="en-US" w:eastAsia="zh-CN" w:bidi="ar"/>
              </w:rPr>
              <w:t>100.0</w:t>
            </w:r>
          </w:p>
        </w:tc>
      </w:tr>
    </w:tbl>
    <w:p w14:paraId="054FC81A">
      <w:pPr>
        <w:pStyle w:val="19"/>
        <w:keepNext w:val="0"/>
        <w:keepLines w:val="0"/>
        <w:widowControl/>
        <w:suppressLineNumbers w:val="0"/>
        <w:rPr>
          <w:rStyle w:val="15"/>
          <w:rFonts w:hint="default" w:ascii="Times New Roman" w:hAnsi="Times New Roman" w:cs="Times New Roman"/>
          <w:b/>
          <w:bCs/>
          <w:sz w:val="22"/>
          <w:szCs w:val="22"/>
        </w:rPr>
      </w:pPr>
      <w:r>
        <w:rPr>
          <w:rStyle w:val="11"/>
          <w:rFonts w:hint="default" w:ascii="Times New Roman" w:hAnsi="Times New Roman" w:cs="Times New Roman"/>
          <w:sz w:val="22"/>
          <w:szCs w:val="22"/>
        </w:rPr>
        <w:t>Note.</w:t>
      </w:r>
      <w:r>
        <w:rPr>
          <w:rFonts w:hint="default" w:ascii="Times New Roman" w:hAnsi="Times New Roman" w:cs="Times New Roman"/>
          <w:sz w:val="22"/>
          <w:szCs w:val="22"/>
        </w:rPr>
        <w:t xml:space="preserve"> Percentages are calculated using valid responses for each characteristic. Academic discipline has two missing responses; therefore, its denominator is 535, whereas the denominator for all other characteristics is 537. Minor discrepancies in percentage totals may occur because of rounding.</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The monthly income percentages sum to 99.9% because of rounding.</w:t>
      </w:r>
    </w:p>
    <w:p w14:paraId="752226DB">
      <w:pPr>
        <w:pStyle w:val="19"/>
        <w:keepNext w:val="0"/>
        <w:keepLines w:val="0"/>
        <w:widowControl/>
        <w:suppressLineNumbers w:val="0"/>
        <w:rPr>
          <w:rStyle w:val="15"/>
          <w:rFonts w:hint="default" w:ascii="Times New Roman" w:hAnsi="Times New Roman" w:cs="Times New Roman"/>
          <w:b/>
          <w:bCs/>
          <w:sz w:val="22"/>
          <w:szCs w:val="22"/>
        </w:rPr>
      </w:pPr>
      <w:r>
        <w:rPr>
          <w:sz w:val="22"/>
          <w:szCs w:val="22"/>
        </w:rPr>
        <w:t>Objective financial literacy was assessed using five questions, with one point awarded for each correct answer. The mean score was 3.009 out of 5 (SD = 1.459). A score of 3 was the most common, achieved by 162 respondents (30.2%). Overall, 129 respondents (24.0%) answered all five questions correctly, whereas 20 (3.7%) answered none correctly. Figure 2 illustrates the distribution of scores across the primary analytical sample.</w:t>
      </w:r>
    </w:p>
    <w:p w14:paraId="1A582DC9">
      <w:pPr>
        <w:pStyle w:val="16"/>
        <w:keepNext w:val="0"/>
        <w:keepLines w:val="0"/>
        <w:widowControl/>
        <w:suppressLineNumbers w:val="0"/>
        <w:bidi w:val="0"/>
        <w:rPr>
          <w:rFonts w:hint="default" w:ascii="Times New Roman" w:hAnsi="Times New Roman" w:cs="Times New Roman"/>
          <w:b/>
          <w:bCs/>
          <w:sz w:val="22"/>
          <w:szCs w:val="22"/>
        </w:rPr>
      </w:pPr>
      <w:r>
        <w:rPr>
          <w:rStyle w:val="15"/>
          <w:rFonts w:hint="default" w:ascii="Times New Roman" w:hAnsi="Times New Roman" w:cs="Times New Roman"/>
          <w:b/>
          <w:bCs/>
          <w:sz w:val="22"/>
          <w:szCs w:val="22"/>
        </w:rPr>
        <w:t>Figure 2. Distribution of objective financial-literacy scores among the primary analytical sample.</w:t>
      </w:r>
    </w:p>
    <w:p w14:paraId="4FF5AE9F">
      <w:pPr>
        <w:pStyle w:val="4"/>
        <w:bidi w:val="0"/>
        <w:spacing w:before="0" w:after="140" w:line="276" w:lineRule="auto"/>
        <w:jc w:val="left"/>
        <w:rPr>
          <w:rFonts w:hint="default" w:ascii="Times New Roman" w:hAnsi="Times New Roman" w:cs="Times New Roman"/>
          <w:sz w:val="22"/>
          <w:szCs w:val="22"/>
        </w:rPr>
      </w:pPr>
    </w:p>
    <w:p w14:paraId="681500B3">
      <w:pPr>
        <w:pStyle w:val="4"/>
        <w:bidi w:val="0"/>
        <w:spacing w:before="0" w:after="140" w:line="276" w:lineRule="auto"/>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drawing>
          <wp:inline distT="0" distB="0" distL="114300" distR="114300">
            <wp:extent cx="6417310" cy="4264025"/>
            <wp:effectExtent l="0" t="0" r="2540" b="3175"/>
            <wp:docPr id="2" name="Picture 2" descr="Figure_2_FL_Scor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_2_FL_Score_Distribution"/>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6417310" cy="4264025"/>
                    </a:xfrm>
                    <a:prstGeom prst="rect">
                      <a:avLst/>
                    </a:prstGeom>
                  </pic:spPr>
                </pic:pic>
              </a:graphicData>
            </a:graphic>
          </wp:inline>
        </w:drawing>
      </w:r>
    </w:p>
    <w:p w14:paraId="6796CDCB">
      <w:pPr>
        <w:pStyle w:val="16"/>
        <w:keepNext w:val="0"/>
        <w:keepLines w:val="0"/>
        <w:widowControl/>
        <w:suppressLineNumbers w:val="0"/>
        <w:bidi w:val="0"/>
        <w:rPr>
          <w:rFonts w:hint="default" w:ascii="Times New Roman" w:hAnsi="Times New Roman" w:cs="Times New Roman"/>
          <w:sz w:val="22"/>
          <w:szCs w:val="22"/>
        </w:rPr>
      </w:pPr>
      <w:r>
        <w:rPr>
          <w:rStyle w:val="15"/>
          <w:rFonts w:hint="default" w:ascii="Times New Roman" w:hAnsi="Times New Roman" w:cs="Times New Roman"/>
          <w:sz w:val="22"/>
          <w:szCs w:val="22"/>
        </w:rPr>
        <w:t>Note. The financial-literacy score ranges from 0 to 5 and is based on the number of correct responses to the five objective financial-literacy items (n = 537).</w:t>
      </w:r>
    </w:p>
    <w:p w14:paraId="19FFC901">
      <w:pPr>
        <w:pStyle w:val="19"/>
        <w:keepNext w:val="0"/>
        <w:keepLines w:val="0"/>
        <w:widowControl/>
        <w:suppressLineNumbers w:val="0"/>
        <w:rPr>
          <w:rFonts w:hint="default" w:ascii="Times New Roman" w:hAnsi="Times New Roman" w:cs="Times New Roman"/>
          <w:b/>
          <w:bCs/>
          <w:sz w:val="22"/>
          <w:szCs w:val="22"/>
          <w:lang w:val="en-US"/>
        </w:rPr>
      </w:pPr>
      <w:r>
        <w:rPr>
          <w:sz w:val="22"/>
          <w:szCs w:val="22"/>
        </w:rPr>
        <w:t>These findings describe the surveyed sample and should not be interpreted as nationally representative estimates.</w:t>
      </w:r>
      <w:r>
        <w:rPr>
          <w:rFonts w:hint="default" w:ascii="Times New Roman" w:hAnsi="Times New Roman" w:cs="Times New Roman"/>
          <w:b/>
          <w:bCs/>
          <w:sz w:val="22"/>
          <w:szCs w:val="22"/>
        </w:rPr>
        <w:br w:type="textWrapping"/>
      </w:r>
      <w:r>
        <w:rPr>
          <w:rFonts w:hint="default" w:ascii="Times New Roman" w:hAnsi="Times New Roman" w:cs="Times New Roman"/>
          <w:b/>
          <w:bCs/>
          <w:sz w:val="22"/>
          <w:szCs w:val="22"/>
        </w:rPr>
        <w:br w:type="textWrapping"/>
      </w:r>
      <w:r>
        <w:rPr>
          <w:rFonts w:hint="default" w:ascii="Times New Roman" w:hAnsi="Times New Roman" w:cs="Times New Roman"/>
          <w:b/>
          <w:bCs/>
          <w:sz w:val="22"/>
          <w:szCs w:val="22"/>
          <w:lang w:val="en-US"/>
        </w:rPr>
        <w:t xml:space="preserve">4.1.1 </w:t>
      </w:r>
      <w:r>
        <w:rPr>
          <w:rStyle w:val="15"/>
          <w:rFonts w:hint="default" w:ascii="Times New Roman" w:hAnsi="Times New Roman" w:eastAsia="SimSun" w:cs="Times New Roman"/>
          <w:b/>
          <w:bCs/>
          <w:sz w:val="22"/>
          <w:szCs w:val="22"/>
        </w:rPr>
        <w:t>Digital Financial Service Usage Frequency</w:t>
      </w:r>
    </w:p>
    <w:p w14:paraId="3FB58D16">
      <w:pPr>
        <w:pStyle w:val="19"/>
        <w:keepNext w:val="0"/>
        <w:keepLines w:val="0"/>
        <w:widowControl/>
        <w:suppressLineNumbers w:val="0"/>
        <w:rPr>
          <w:sz w:val="22"/>
          <w:szCs w:val="22"/>
        </w:rPr>
      </w:pPr>
      <w:r>
        <w:rPr>
          <w:sz w:val="22"/>
          <w:szCs w:val="22"/>
        </w:rPr>
        <w:t>Digital financial service usage frequency was examined descriptively using Q13, which was excluded from the DFB measurement block and the primary structural model. All 540 respondents provided valid responses to this item. The most common response was using digital financial services a few times per month (291 respondents, 53.9%), followed by a few times per week (84, 15.6%). The remaining respondents reported using these services almost never, almost every day, or multiple times per day. The full distribution is presented in the accompanying frequency table.</w:t>
      </w:r>
    </w:p>
    <w:p w14:paraId="20085F72">
      <w:pPr>
        <w:pStyle w:val="19"/>
        <w:keepNext w:val="0"/>
        <w:keepLines w:val="0"/>
        <w:widowControl/>
        <w:suppressLineNumbers w:val="0"/>
        <w:rPr>
          <w:rFonts w:hint="default"/>
          <w:sz w:val="22"/>
          <w:szCs w:val="22"/>
          <w:lang w:val="en-US"/>
        </w:rPr>
      </w:pPr>
    </w:p>
    <w:p w14:paraId="64DDE15E">
      <w:pPr>
        <w:pStyle w:val="19"/>
        <w:keepNext w:val="0"/>
        <w:keepLines w:val="0"/>
        <w:widowControl/>
        <w:suppressLineNumbers w:val="0"/>
        <w:rPr>
          <w:rFonts w:hint="default"/>
          <w:sz w:val="22"/>
          <w:szCs w:val="22"/>
          <w:lang w:val="en-US"/>
        </w:rPr>
      </w:pP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74"/>
        <w:gridCol w:w="1406"/>
        <w:gridCol w:w="1555"/>
      </w:tblGrid>
      <w:tr w14:paraId="53733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3843C1AC">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Digital financial service usage frequency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1C8594">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Frequency (n)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A6654F">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Percentage (%)</w:t>
            </w:r>
          </w:p>
        </w:tc>
      </w:tr>
      <w:tr w14:paraId="2D027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FA39C8">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Almost never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2F8EC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67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3D0865">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12.4</w:t>
            </w:r>
          </w:p>
        </w:tc>
      </w:tr>
      <w:tr w14:paraId="6D4C2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16BC45">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 few times per month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33B39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291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C0AF62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53.9</w:t>
            </w:r>
          </w:p>
        </w:tc>
      </w:tr>
      <w:tr w14:paraId="3221D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D2AB0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 few times per week</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5877E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84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8525F3">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15.6</w:t>
            </w:r>
          </w:p>
        </w:tc>
      </w:tr>
      <w:tr w14:paraId="1E628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2D8462">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Almost every day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65B89E">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60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4604A9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11.1</w:t>
            </w:r>
          </w:p>
        </w:tc>
      </w:tr>
      <w:tr w14:paraId="08DF7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2E5865E">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Multiple times per day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0F397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F0E1CB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7.0</w:t>
            </w:r>
          </w:p>
        </w:tc>
      </w:tr>
      <w:tr w14:paraId="1F676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5A883F">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Total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2DCD15">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540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69523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100.0*</w:t>
            </w:r>
          </w:p>
        </w:tc>
      </w:tr>
    </w:tbl>
    <w:p w14:paraId="5CEC612E">
      <w:pPr>
        <w:pStyle w:val="19"/>
        <w:keepNext w:val="0"/>
        <w:keepLines w:val="0"/>
        <w:widowControl/>
        <w:suppressLineNumbers w:val="0"/>
        <w:rPr>
          <w:rFonts w:hint="default" w:ascii="Times New Roman" w:hAnsi="Times New Roman" w:cs="Times New Roman"/>
          <w:sz w:val="22"/>
          <w:szCs w:val="22"/>
        </w:rPr>
      </w:pPr>
      <w:r>
        <w:rPr>
          <w:sz w:val="22"/>
          <w:szCs w:val="22"/>
        </w:rPr>
        <w:t xml:space="preserve">Note. </w:t>
      </w:r>
      <w:r>
        <w:rPr>
          <w:rFonts w:hint="default" w:ascii="Times New Roman" w:hAnsi="Times New Roman" w:cs="Times New Roman"/>
          <w:sz w:val="22"/>
          <w:szCs w:val="22"/>
        </w:rPr>
        <w:t>Percentages are based on all 540 valid responses to Q13, whereas the primary PLS-SEM analysis used 537 complete cases</w:t>
      </w:r>
      <w:r>
        <w:rPr>
          <w:sz w:val="22"/>
          <w:szCs w:val="22"/>
        </w:rPr>
        <w:t>. Minor discrepancies in percentage totals may occur because of rounding</w:t>
      </w:r>
      <w:r>
        <w:rPr>
          <w:rFonts w:hint="default" w:ascii="Times New Roman" w:hAnsi="Times New Roman" w:cs="Times New Roman"/>
          <w:sz w:val="22"/>
          <w:szCs w:val="22"/>
        </w:rPr>
        <w:t xml:space="preserve">. </w:t>
      </w:r>
    </w:p>
    <w:p w14:paraId="085B48C0">
      <w:pPr>
        <w:pStyle w:val="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4.2 Measurement Model Assessment</w:t>
      </w:r>
    </w:p>
    <w:p w14:paraId="55A30A3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reflective measurement model was assessed for indicator reliability, internal consistency, convergent validity, and discriminant validity. Table 3 presents the outer loadings and construct-level reliability statistics for the four multi-item constructs, together with the single-indicator measures.</w:t>
      </w:r>
    </w:p>
    <w:p w14:paraId="2C5A3F4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Table 3. Indicator Loadings, Reliability, and Convergent Validity</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25"/>
        <w:gridCol w:w="940"/>
        <w:gridCol w:w="1374"/>
        <w:gridCol w:w="1338"/>
        <w:gridCol w:w="659"/>
        <w:gridCol w:w="659"/>
        <w:gridCol w:w="570"/>
      </w:tblGrid>
      <w:tr w14:paraId="4D852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B3C25E">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Construct</w:t>
            </w:r>
          </w:p>
        </w:tc>
        <w:tc>
          <w:tcPr>
            <w:tcW w:w="0" w:type="auto"/>
            <w:shd w:val="clear" w:color="auto" w:fill="auto"/>
            <w:vAlign w:val="center"/>
          </w:tcPr>
          <w:p w14:paraId="4830A59B">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Indicator</w:t>
            </w:r>
          </w:p>
        </w:tc>
        <w:tc>
          <w:tcPr>
            <w:tcW w:w="0" w:type="auto"/>
            <w:shd w:val="clear" w:color="auto" w:fill="auto"/>
            <w:vAlign w:val="center"/>
          </w:tcPr>
          <w:p w14:paraId="2AC37473">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Outer loading</w:t>
            </w:r>
          </w:p>
        </w:tc>
        <w:tc>
          <w:tcPr>
            <w:tcW w:w="0" w:type="auto"/>
            <w:shd w:val="clear" w:color="auto" w:fill="auto"/>
            <w:vAlign w:val="center"/>
          </w:tcPr>
          <w:p w14:paraId="31A8CD77">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Cronbach’s α</w:t>
            </w:r>
          </w:p>
        </w:tc>
        <w:tc>
          <w:tcPr>
            <w:tcW w:w="0" w:type="auto"/>
            <w:shd w:val="clear" w:color="auto" w:fill="auto"/>
            <w:vAlign w:val="center"/>
          </w:tcPr>
          <w:p w14:paraId="373D7C5C">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rho_A</w:t>
            </w:r>
          </w:p>
        </w:tc>
        <w:tc>
          <w:tcPr>
            <w:tcW w:w="0" w:type="auto"/>
            <w:shd w:val="clear" w:color="auto" w:fill="auto"/>
            <w:vAlign w:val="center"/>
          </w:tcPr>
          <w:p w14:paraId="4F75896D">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rho_C</w:t>
            </w:r>
          </w:p>
        </w:tc>
        <w:tc>
          <w:tcPr>
            <w:tcW w:w="0" w:type="auto"/>
            <w:shd w:val="clear" w:color="auto" w:fill="auto"/>
            <w:vAlign w:val="center"/>
          </w:tcPr>
          <w:p w14:paraId="791F878D">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AVE</w:t>
            </w:r>
          </w:p>
        </w:tc>
      </w:tr>
      <w:tr w14:paraId="41A35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A7BD5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Digital Financial Behavior (DFB)</w:t>
            </w:r>
          </w:p>
        </w:tc>
        <w:tc>
          <w:tcPr>
            <w:tcW w:w="0" w:type="auto"/>
            <w:shd w:val="clear" w:color="auto" w:fill="auto"/>
            <w:vAlign w:val="center"/>
          </w:tcPr>
          <w:p w14:paraId="56D089E5">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Q14</w:t>
            </w:r>
          </w:p>
        </w:tc>
        <w:tc>
          <w:tcPr>
            <w:tcW w:w="0" w:type="auto"/>
            <w:shd w:val="clear" w:color="auto" w:fill="auto"/>
            <w:vAlign w:val="center"/>
          </w:tcPr>
          <w:p w14:paraId="272DA8B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0.798</w:t>
            </w:r>
          </w:p>
        </w:tc>
        <w:tc>
          <w:tcPr>
            <w:tcW w:w="0" w:type="auto"/>
            <w:shd w:val="clear" w:color="auto" w:fill="auto"/>
            <w:vAlign w:val="center"/>
          </w:tcPr>
          <w:p w14:paraId="037035F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0.782</w:t>
            </w:r>
          </w:p>
        </w:tc>
        <w:tc>
          <w:tcPr>
            <w:tcW w:w="0" w:type="auto"/>
            <w:shd w:val="clear" w:color="auto" w:fill="auto"/>
            <w:vAlign w:val="center"/>
          </w:tcPr>
          <w:p w14:paraId="009F0D0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0.790</w:t>
            </w:r>
          </w:p>
        </w:tc>
        <w:tc>
          <w:tcPr>
            <w:tcW w:w="0" w:type="auto"/>
            <w:shd w:val="clear" w:color="auto" w:fill="auto"/>
            <w:vAlign w:val="center"/>
          </w:tcPr>
          <w:p w14:paraId="0B9BC6F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0.873</w:t>
            </w:r>
          </w:p>
        </w:tc>
        <w:tc>
          <w:tcPr>
            <w:tcW w:w="0" w:type="auto"/>
            <w:shd w:val="clear" w:color="auto" w:fill="auto"/>
            <w:vAlign w:val="center"/>
          </w:tcPr>
          <w:p w14:paraId="1ECEE3A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0.696</w:t>
            </w:r>
          </w:p>
        </w:tc>
      </w:tr>
      <w:tr w14:paraId="0AA1F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D90B0C">
            <w:pPr>
              <w:rPr>
                <w:rFonts w:hint="default" w:ascii="Times New Roman" w:hAnsi="Times New Roman" w:cs="Times New Roman"/>
                <w:sz w:val="22"/>
                <w:szCs w:val="22"/>
              </w:rPr>
            </w:pPr>
          </w:p>
        </w:tc>
        <w:tc>
          <w:tcPr>
            <w:tcW w:w="0" w:type="auto"/>
            <w:shd w:val="clear" w:color="auto" w:fill="auto"/>
            <w:vAlign w:val="center"/>
          </w:tcPr>
          <w:p w14:paraId="2EDF5CE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Q15</w:t>
            </w:r>
          </w:p>
        </w:tc>
        <w:tc>
          <w:tcPr>
            <w:tcW w:w="0" w:type="auto"/>
            <w:shd w:val="clear" w:color="auto" w:fill="auto"/>
            <w:vAlign w:val="center"/>
          </w:tcPr>
          <w:p w14:paraId="4A812CB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0.876</w:t>
            </w:r>
          </w:p>
        </w:tc>
        <w:tc>
          <w:tcPr>
            <w:tcW w:w="0" w:type="auto"/>
            <w:shd w:val="clear" w:color="auto" w:fill="auto"/>
            <w:vAlign w:val="center"/>
          </w:tcPr>
          <w:p w14:paraId="4B60460A">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16668B1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6F6511D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45A8E4B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r>
      <w:tr w14:paraId="286C5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A2EDAE">
            <w:pPr>
              <w:rPr>
                <w:rFonts w:hint="default" w:ascii="Times New Roman" w:hAnsi="Times New Roman" w:cs="Times New Roman"/>
                <w:sz w:val="22"/>
                <w:szCs w:val="22"/>
              </w:rPr>
            </w:pPr>
          </w:p>
        </w:tc>
        <w:tc>
          <w:tcPr>
            <w:tcW w:w="0" w:type="auto"/>
            <w:shd w:val="clear" w:color="auto" w:fill="auto"/>
            <w:vAlign w:val="center"/>
          </w:tcPr>
          <w:p w14:paraId="674F5E7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Q16</w:t>
            </w:r>
          </w:p>
        </w:tc>
        <w:tc>
          <w:tcPr>
            <w:tcW w:w="0" w:type="auto"/>
            <w:shd w:val="clear" w:color="auto" w:fill="auto"/>
            <w:vAlign w:val="center"/>
          </w:tcPr>
          <w:p w14:paraId="5AEA84EA">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0.827</w:t>
            </w:r>
          </w:p>
        </w:tc>
        <w:tc>
          <w:tcPr>
            <w:tcW w:w="0" w:type="auto"/>
            <w:shd w:val="clear" w:color="auto" w:fill="auto"/>
            <w:vAlign w:val="center"/>
          </w:tcPr>
          <w:p w14:paraId="1C9BCB2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4AC254AE">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18DC18B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3399A0FA">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r>
      <w:tr w14:paraId="2EB18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27114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Financial Management Behavior (FMB)</w:t>
            </w:r>
          </w:p>
        </w:tc>
        <w:tc>
          <w:tcPr>
            <w:tcW w:w="0" w:type="auto"/>
            <w:shd w:val="clear" w:color="auto" w:fill="auto"/>
            <w:vAlign w:val="center"/>
          </w:tcPr>
          <w:p w14:paraId="3195130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Q17</w:t>
            </w:r>
          </w:p>
        </w:tc>
        <w:tc>
          <w:tcPr>
            <w:tcW w:w="0" w:type="auto"/>
            <w:shd w:val="clear" w:color="auto" w:fill="auto"/>
            <w:vAlign w:val="center"/>
          </w:tcPr>
          <w:p w14:paraId="794718B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0.846</w:t>
            </w:r>
          </w:p>
        </w:tc>
        <w:tc>
          <w:tcPr>
            <w:tcW w:w="0" w:type="auto"/>
            <w:shd w:val="clear" w:color="auto" w:fill="auto"/>
            <w:vAlign w:val="center"/>
          </w:tcPr>
          <w:p w14:paraId="7CCE8F65">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0.782</w:t>
            </w:r>
          </w:p>
        </w:tc>
        <w:tc>
          <w:tcPr>
            <w:tcW w:w="0" w:type="auto"/>
            <w:shd w:val="clear" w:color="auto" w:fill="auto"/>
            <w:vAlign w:val="center"/>
          </w:tcPr>
          <w:p w14:paraId="36F1F9E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0.808</w:t>
            </w:r>
          </w:p>
        </w:tc>
        <w:tc>
          <w:tcPr>
            <w:tcW w:w="0" w:type="auto"/>
            <w:shd w:val="clear" w:color="auto" w:fill="auto"/>
            <w:vAlign w:val="center"/>
          </w:tcPr>
          <w:p w14:paraId="50DA790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0.871</w:t>
            </w:r>
          </w:p>
        </w:tc>
        <w:tc>
          <w:tcPr>
            <w:tcW w:w="0" w:type="auto"/>
            <w:shd w:val="clear" w:color="auto" w:fill="auto"/>
            <w:vAlign w:val="center"/>
          </w:tcPr>
          <w:p w14:paraId="7FCC04B2">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0.693</w:t>
            </w:r>
          </w:p>
        </w:tc>
      </w:tr>
      <w:tr w14:paraId="1ECF2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ECF155">
            <w:pPr>
              <w:rPr>
                <w:rFonts w:hint="default" w:ascii="Times New Roman" w:hAnsi="Times New Roman" w:cs="Times New Roman"/>
                <w:sz w:val="22"/>
                <w:szCs w:val="22"/>
              </w:rPr>
            </w:pPr>
          </w:p>
        </w:tc>
        <w:tc>
          <w:tcPr>
            <w:tcW w:w="0" w:type="auto"/>
            <w:shd w:val="clear" w:color="auto" w:fill="auto"/>
            <w:vAlign w:val="center"/>
          </w:tcPr>
          <w:p w14:paraId="745C50B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Q18</w:t>
            </w:r>
          </w:p>
        </w:tc>
        <w:tc>
          <w:tcPr>
            <w:tcW w:w="0" w:type="auto"/>
            <w:shd w:val="clear" w:color="auto" w:fill="auto"/>
            <w:vAlign w:val="center"/>
          </w:tcPr>
          <w:p w14:paraId="65964775">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0.794</w:t>
            </w:r>
          </w:p>
        </w:tc>
        <w:tc>
          <w:tcPr>
            <w:tcW w:w="0" w:type="auto"/>
            <w:shd w:val="clear" w:color="auto" w:fill="auto"/>
            <w:vAlign w:val="center"/>
          </w:tcPr>
          <w:p w14:paraId="1EFFECC8">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65534F0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46A171BE">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2B7B1DA8">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r>
      <w:tr w14:paraId="3C19B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74B395">
            <w:pPr>
              <w:rPr>
                <w:rFonts w:hint="default" w:ascii="Times New Roman" w:hAnsi="Times New Roman" w:cs="Times New Roman"/>
                <w:sz w:val="22"/>
                <w:szCs w:val="22"/>
              </w:rPr>
            </w:pPr>
          </w:p>
        </w:tc>
        <w:tc>
          <w:tcPr>
            <w:tcW w:w="0" w:type="auto"/>
            <w:shd w:val="clear" w:color="auto" w:fill="auto"/>
            <w:vAlign w:val="center"/>
          </w:tcPr>
          <w:p w14:paraId="12AB277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Q19</w:t>
            </w:r>
          </w:p>
        </w:tc>
        <w:tc>
          <w:tcPr>
            <w:tcW w:w="0" w:type="auto"/>
            <w:shd w:val="clear" w:color="auto" w:fill="auto"/>
            <w:vAlign w:val="center"/>
          </w:tcPr>
          <w:p w14:paraId="576AC4D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0.856</w:t>
            </w:r>
          </w:p>
        </w:tc>
        <w:tc>
          <w:tcPr>
            <w:tcW w:w="0" w:type="auto"/>
            <w:shd w:val="clear" w:color="auto" w:fill="auto"/>
            <w:vAlign w:val="center"/>
          </w:tcPr>
          <w:p w14:paraId="511AA86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19D7F09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16AAF7E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3DBBBC6E">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r>
      <w:tr w14:paraId="02FC8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62336A">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Impulsive Spending Behavior (ISB)</w:t>
            </w:r>
          </w:p>
        </w:tc>
        <w:tc>
          <w:tcPr>
            <w:tcW w:w="0" w:type="auto"/>
            <w:shd w:val="clear" w:color="auto" w:fill="auto"/>
            <w:vAlign w:val="center"/>
          </w:tcPr>
          <w:p w14:paraId="6075113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Q20</w:t>
            </w:r>
          </w:p>
        </w:tc>
        <w:tc>
          <w:tcPr>
            <w:tcW w:w="0" w:type="auto"/>
            <w:shd w:val="clear" w:color="auto" w:fill="auto"/>
            <w:vAlign w:val="center"/>
          </w:tcPr>
          <w:p w14:paraId="584C30FF">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0.844</w:t>
            </w:r>
          </w:p>
        </w:tc>
        <w:tc>
          <w:tcPr>
            <w:tcW w:w="0" w:type="auto"/>
            <w:shd w:val="clear" w:color="auto" w:fill="auto"/>
            <w:vAlign w:val="center"/>
          </w:tcPr>
          <w:p w14:paraId="06367D45">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0.767</w:t>
            </w:r>
          </w:p>
        </w:tc>
        <w:tc>
          <w:tcPr>
            <w:tcW w:w="0" w:type="auto"/>
            <w:shd w:val="clear" w:color="auto" w:fill="auto"/>
            <w:vAlign w:val="center"/>
          </w:tcPr>
          <w:p w14:paraId="2E6818D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0.796</w:t>
            </w:r>
          </w:p>
        </w:tc>
        <w:tc>
          <w:tcPr>
            <w:tcW w:w="0" w:type="auto"/>
            <w:shd w:val="clear" w:color="auto" w:fill="auto"/>
            <w:vAlign w:val="center"/>
          </w:tcPr>
          <w:p w14:paraId="1786D51A">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0.864</w:t>
            </w:r>
          </w:p>
        </w:tc>
        <w:tc>
          <w:tcPr>
            <w:tcW w:w="0" w:type="auto"/>
            <w:shd w:val="clear" w:color="auto" w:fill="auto"/>
            <w:vAlign w:val="center"/>
          </w:tcPr>
          <w:p w14:paraId="7E6819D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0.679</w:t>
            </w:r>
          </w:p>
        </w:tc>
      </w:tr>
      <w:tr w14:paraId="31491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D6C6BE">
            <w:pPr>
              <w:rPr>
                <w:rFonts w:hint="default" w:ascii="Times New Roman" w:hAnsi="Times New Roman" w:cs="Times New Roman"/>
                <w:sz w:val="22"/>
                <w:szCs w:val="22"/>
              </w:rPr>
            </w:pPr>
          </w:p>
        </w:tc>
        <w:tc>
          <w:tcPr>
            <w:tcW w:w="0" w:type="auto"/>
            <w:shd w:val="clear" w:color="auto" w:fill="auto"/>
            <w:vAlign w:val="center"/>
          </w:tcPr>
          <w:p w14:paraId="56552CC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Q21</w:t>
            </w:r>
          </w:p>
        </w:tc>
        <w:tc>
          <w:tcPr>
            <w:tcW w:w="0" w:type="auto"/>
            <w:shd w:val="clear" w:color="auto" w:fill="auto"/>
            <w:vAlign w:val="center"/>
          </w:tcPr>
          <w:p w14:paraId="6F69055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0.755</w:t>
            </w:r>
          </w:p>
        </w:tc>
        <w:tc>
          <w:tcPr>
            <w:tcW w:w="0" w:type="auto"/>
            <w:shd w:val="clear" w:color="auto" w:fill="auto"/>
            <w:vAlign w:val="center"/>
          </w:tcPr>
          <w:p w14:paraId="35AEC4EA">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2A8B4EBA">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23AC7BA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78FCC95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r>
      <w:tr w14:paraId="4F551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9A033E">
            <w:pPr>
              <w:rPr>
                <w:rFonts w:hint="default" w:ascii="Times New Roman" w:hAnsi="Times New Roman" w:cs="Times New Roman"/>
                <w:sz w:val="22"/>
                <w:szCs w:val="22"/>
              </w:rPr>
            </w:pPr>
          </w:p>
        </w:tc>
        <w:tc>
          <w:tcPr>
            <w:tcW w:w="0" w:type="auto"/>
            <w:shd w:val="clear" w:color="auto" w:fill="auto"/>
            <w:vAlign w:val="center"/>
          </w:tcPr>
          <w:p w14:paraId="326F83E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Q22</w:t>
            </w:r>
          </w:p>
        </w:tc>
        <w:tc>
          <w:tcPr>
            <w:tcW w:w="0" w:type="auto"/>
            <w:shd w:val="clear" w:color="auto" w:fill="auto"/>
            <w:vAlign w:val="center"/>
          </w:tcPr>
          <w:p w14:paraId="5EE9902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0.869</w:t>
            </w:r>
          </w:p>
        </w:tc>
        <w:tc>
          <w:tcPr>
            <w:tcW w:w="0" w:type="auto"/>
            <w:shd w:val="clear" w:color="auto" w:fill="auto"/>
            <w:vAlign w:val="center"/>
          </w:tcPr>
          <w:p w14:paraId="19B5978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16D353F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6DF09303">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6F20D05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r>
      <w:tr w14:paraId="50B5C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9B2283">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Social Influence (SI)</w:t>
            </w:r>
          </w:p>
        </w:tc>
        <w:tc>
          <w:tcPr>
            <w:tcW w:w="0" w:type="auto"/>
            <w:shd w:val="clear" w:color="auto" w:fill="auto"/>
            <w:vAlign w:val="center"/>
          </w:tcPr>
          <w:p w14:paraId="37AF4C7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Q23</w:t>
            </w:r>
          </w:p>
        </w:tc>
        <w:tc>
          <w:tcPr>
            <w:tcW w:w="0" w:type="auto"/>
            <w:shd w:val="clear" w:color="auto" w:fill="auto"/>
            <w:vAlign w:val="center"/>
          </w:tcPr>
          <w:p w14:paraId="2843FBD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0.875</w:t>
            </w:r>
          </w:p>
        </w:tc>
        <w:tc>
          <w:tcPr>
            <w:tcW w:w="0" w:type="auto"/>
            <w:shd w:val="clear" w:color="auto" w:fill="auto"/>
            <w:vAlign w:val="center"/>
          </w:tcPr>
          <w:p w14:paraId="35699ED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0.781</w:t>
            </w:r>
          </w:p>
        </w:tc>
        <w:tc>
          <w:tcPr>
            <w:tcW w:w="0" w:type="auto"/>
            <w:shd w:val="clear" w:color="auto" w:fill="auto"/>
            <w:vAlign w:val="center"/>
          </w:tcPr>
          <w:p w14:paraId="50D569D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0.814</w:t>
            </w:r>
          </w:p>
        </w:tc>
        <w:tc>
          <w:tcPr>
            <w:tcW w:w="0" w:type="auto"/>
            <w:shd w:val="clear" w:color="auto" w:fill="auto"/>
            <w:vAlign w:val="center"/>
          </w:tcPr>
          <w:p w14:paraId="0F1291E8">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0.872</w:t>
            </w:r>
          </w:p>
        </w:tc>
        <w:tc>
          <w:tcPr>
            <w:tcW w:w="0" w:type="auto"/>
            <w:shd w:val="clear" w:color="auto" w:fill="auto"/>
            <w:vAlign w:val="center"/>
          </w:tcPr>
          <w:p w14:paraId="727759E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0.695</w:t>
            </w:r>
          </w:p>
        </w:tc>
      </w:tr>
      <w:tr w14:paraId="2B1C3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DEFBC8">
            <w:pPr>
              <w:rPr>
                <w:rFonts w:hint="default" w:ascii="Times New Roman" w:hAnsi="Times New Roman" w:cs="Times New Roman"/>
                <w:sz w:val="22"/>
                <w:szCs w:val="22"/>
              </w:rPr>
            </w:pPr>
          </w:p>
        </w:tc>
        <w:tc>
          <w:tcPr>
            <w:tcW w:w="0" w:type="auto"/>
            <w:shd w:val="clear" w:color="auto" w:fill="auto"/>
            <w:vAlign w:val="center"/>
          </w:tcPr>
          <w:p w14:paraId="6355A67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Q24</w:t>
            </w:r>
          </w:p>
        </w:tc>
        <w:tc>
          <w:tcPr>
            <w:tcW w:w="0" w:type="auto"/>
            <w:shd w:val="clear" w:color="auto" w:fill="auto"/>
            <w:vAlign w:val="center"/>
          </w:tcPr>
          <w:p w14:paraId="21AA49F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0.880</w:t>
            </w:r>
          </w:p>
        </w:tc>
        <w:tc>
          <w:tcPr>
            <w:tcW w:w="0" w:type="auto"/>
            <w:shd w:val="clear" w:color="auto" w:fill="auto"/>
            <w:vAlign w:val="center"/>
          </w:tcPr>
          <w:p w14:paraId="3A511CFF">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55A75FC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13867D4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05745B2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r>
      <w:tr w14:paraId="63424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D91322">
            <w:pPr>
              <w:rPr>
                <w:rFonts w:hint="default" w:ascii="Times New Roman" w:hAnsi="Times New Roman" w:cs="Times New Roman"/>
                <w:sz w:val="22"/>
                <w:szCs w:val="22"/>
              </w:rPr>
            </w:pPr>
          </w:p>
        </w:tc>
        <w:tc>
          <w:tcPr>
            <w:tcW w:w="0" w:type="auto"/>
            <w:shd w:val="clear" w:color="auto" w:fill="auto"/>
            <w:vAlign w:val="center"/>
          </w:tcPr>
          <w:p w14:paraId="2E178878">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Q25</w:t>
            </w:r>
          </w:p>
        </w:tc>
        <w:tc>
          <w:tcPr>
            <w:tcW w:w="0" w:type="auto"/>
            <w:shd w:val="clear" w:color="auto" w:fill="auto"/>
            <w:vAlign w:val="center"/>
          </w:tcPr>
          <w:p w14:paraId="1F6C679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0.737</w:t>
            </w:r>
          </w:p>
        </w:tc>
        <w:tc>
          <w:tcPr>
            <w:tcW w:w="0" w:type="auto"/>
            <w:shd w:val="clear" w:color="auto" w:fill="auto"/>
            <w:vAlign w:val="center"/>
          </w:tcPr>
          <w:p w14:paraId="1C6B2CE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3A1B1D1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4A5FDFF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51CE2712">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r>
      <w:tr w14:paraId="3B7C0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CA7085">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Financial Literacy (FL)</w:t>
            </w:r>
          </w:p>
        </w:tc>
        <w:tc>
          <w:tcPr>
            <w:tcW w:w="0" w:type="auto"/>
            <w:shd w:val="clear" w:color="auto" w:fill="auto"/>
            <w:vAlign w:val="center"/>
          </w:tcPr>
          <w:p w14:paraId="6A06FD5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FL_score</w:t>
            </w:r>
          </w:p>
        </w:tc>
        <w:tc>
          <w:tcPr>
            <w:tcW w:w="0" w:type="auto"/>
            <w:shd w:val="clear" w:color="auto" w:fill="auto"/>
            <w:vAlign w:val="center"/>
          </w:tcPr>
          <w:p w14:paraId="4169CAA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1.000</w:t>
            </w:r>
          </w:p>
        </w:tc>
        <w:tc>
          <w:tcPr>
            <w:tcW w:w="0" w:type="auto"/>
            <w:shd w:val="clear" w:color="auto" w:fill="auto"/>
            <w:vAlign w:val="center"/>
          </w:tcPr>
          <w:p w14:paraId="16C713D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322C0AE3">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4E0F087E">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40CCCA12">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r>
      <w:tr w14:paraId="795F3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0012D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Future Financial Orientation (FFO)</w:t>
            </w:r>
          </w:p>
        </w:tc>
        <w:tc>
          <w:tcPr>
            <w:tcW w:w="0" w:type="auto"/>
            <w:shd w:val="clear" w:color="auto" w:fill="auto"/>
            <w:vAlign w:val="center"/>
          </w:tcPr>
          <w:p w14:paraId="04C3814A">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Q26</w:t>
            </w:r>
          </w:p>
        </w:tc>
        <w:tc>
          <w:tcPr>
            <w:tcW w:w="0" w:type="auto"/>
            <w:shd w:val="clear" w:color="auto" w:fill="auto"/>
            <w:vAlign w:val="center"/>
          </w:tcPr>
          <w:p w14:paraId="6D43FBE3">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1.000</w:t>
            </w:r>
          </w:p>
        </w:tc>
        <w:tc>
          <w:tcPr>
            <w:tcW w:w="0" w:type="auto"/>
            <w:shd w:val="clear" w:color="auto" w:fill="auto"/>
            <w:vAlign w:val="center"/>
          </w:tcPr>
          <w:p w14:paraId="1B1AD3F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1DBCB24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417E7F5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42BE64A3">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r>
    </w:tbl>
    <w:p w14:paraId="3EBC621A">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Note. Values are from the primary SmartPLS model (\(n=537\)). Cronbach’s α = Cronbach’s alpha; rho_A = Dijkstra–Henseler’s reliability coefficient; rho_C = composite reliability; AVE = average variance extracted. FL is represented by a single observed quiz score, and FFO by a single item. Their software-assigned loadings of 1.000 should not be interpreted as evidence of perfect measurement reliability. Multi-item reliability statistics are not applicable to these single-indicator measures.</w:t>
      </w:r>
      <w:r>
        <w:rPr>
          <w:rFonts w:hint="default" w:cs="Times New Roman"/>
          <w:sz w:val="22"/>
          <w:szCs w:val="22"/>
          <w:lang w:val="en-US"/>
        </w:rPr>
        <w:t xml:space="preserve"> </w:t>
      </w:r>
      <w:r>
        <w:rPr>
          <w:rFonts w:hint="default" w:ascii="Times New Roman" w:hAnsi="Times New Roman" w:cs="Times New Roman"/>
          <w:sz w:val="22"/>
          <w:szCs w:val="22"/>
        </w:rPr>
        <w:t>Across the four multi-item constructs, outer loadings ranged from 0.737 to 0.880. Cronbach’s alpha ranged from 0.767 to 0.782, rho_A from 0.790 to 0.814, and composite reliability (rho_C) from 0.864 to 0.873. All four constructs had AVE values above 0.50, ranging from 0.679 to 0.696. These results support the internal consistency and convergent validity of the multi-item measures under commonly applied assessment guidelines.</w:t>
      </w:r>
      <w:r>
        <w:rPr>
          <w:rFonts w:hint="default" w:cs="Times New Roman"/>
          <w:sz w:val="22"/>
          <w:szCs w:val="22"/>
          <w:lang w:val="en-US"/>
        </w:rPr>
        <w:t xml:space="preserve"> </w:t>
      </w:r>
      <w:r>
        <w:rPr>
          <w:rFonts w:hint="default" w:ascii="Times New Roman" w:hAnsi="Times New Roman" w:cs="Times New Roman"/>
          <w:sz w:val="22"/>
          <w:szCs w:val="22"/>
        </w:rPr>
        <w:t>Discriminant validity was examined using the heterotrait–monotrait ratio (HTMT). The complete matrix is presented in Table 4.</w:t>
      </w:r>
    </w:p>
    <w:p w14:paraId="6A531E2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Table 4. Heterotrait–Monotrait Ratio (HTMT) Matrix</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17"/>
        <w:gridCol w:w="555"/>
        <w:gridCol w:w="555"/>
        <w:gridCol w:w="555"/>
        <w:gridCol w:w="555"/>
        <w:gridCol w:w="555"/>
        <w:gridCol w:w="570"/>
      </w:tblGrid>
      <w:tr w14:paraId="3528B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3E0C97">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Construct</w:t>
            </w:r>
          </w:p>
        </w:tc>
        <w:tc>
          <w:tcPr>
            <w:tcW w:w="0" w:type="auto"/>
            <w:shd w:val="clear" w:color="auto" w:fill="auto"/>
            <w:vAlign w:val="center"/>
          </w:tcPr>
          <w:p w14:paraId="008144B4">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DFB</w:t>
            </w:r>
          </w:p>
        </w:tc>
        <w:tc>
          <w:tcPr>
            <w:tcW w:w="0" w:type="auto"/>
            <w:shd w:val="clear" w:color="auto" w:fill="auto"/>
            <w:vAlign w:val="center"/>
          </w:tcPr>
          <w:p w14:paraId="4F6AD0DC">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FFO</w:t>
            </w:r>
          </w:p>
        </w:tc>
        <w:tc>
          <w:tcPr>
            <w:tcW w:w="0" w:type="auto"/>
            <w:shd w:val="clear" w:color="auto" w:fill="auto"/>
            <w:vAlign w:val="center"/>
          </w:tcPr>
          <w:p w14:paraId="65C12DB9">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FL</w:t>
            </w:r>
          </w:p>
        </w:tc>
        <w:tc>
          <w:tcPr>
            <w:tcW w:w="0" w:type="auto"/>
            <w:shd w:val="clear" w:color="auto" w:fill="auto"/>
            <w:vAlign w:val="center"/>
          </w:tcPr>
          <w:p w14:paraId="330115C0">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FMB</w:t>
            </w:r>
          </w:p>
        </w:tc>
        <w:tc>
          <w:tcPr>
            <w:tcW w:w="0" w:type="auto"/>
            <w:shd w:val="clear" w:color="auto" w:fill="auto"/>
            <w:vAlign w:val="center"/>
          </w:tcPr>
          <w:p w14:paraId="64E336DD">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ISB</w:t>
            </w:r>
          </w:p>
        </w:tc>
        <w:tc>
          <w:tcPr>
            <w:tcW w:w="0" w:type="auto"/>
            <w:shd w:val="clear" w:color="auto" w:fill="auto"/>
            <w:vAlign w:val="center"/>
          </w:tcPr>
          <w:p w14:paraId="3D725B03">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SI</w:t>
            </w:r>
          </w:p>
        </w:tc>
      </w:tr>
      <w:tr w14:paraId="71FE1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FBDF6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DFB</w:t>
            </w:r>
          </w:p>
        </w:tc>
        <w:tc>
          <w:tcPr>
            <w:tcW w:w="0" w:type="auto"/>
            <w:shd w:val="clear" w:color="auto" w:fill="auto"/>
            <w:vAlign w:val="center"/>
          </w:tcPr>
          <w:p w14:paraId="1AB1BAA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5A937C5E">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0.174</w:t>
            </w:r>
          </w:p>
        </w:tc>
        <w:tc>
          <w:tcPr>
            <w:tcW w:w="0" w:type="auto"/>
            <w:shd w:val="clear" w:color="auto" w:fill="auto"/>
            <w:vAlign w:val="center"/>
          </w:tcPr>
          <w:p w14:paraId="03D3E978">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0.142</w:t>
            </w:r>
          </w:p>
        </w:tc>
        <w:tc>
          <w:tcPr>
            <w:tcW w:w="0" w:type="auto"/>
            <w:shd w:val="clear" w:color="auto" w:fill="auto"/>
            <w:vAlign w:val="center"/>
          </w:tcPr>
          <w:p w14:paraId="4DC1AAF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0.256</w:t>
            </w:r>
          </w:p>
        </w:tc>
        <w:tc>
          <w:tcPr>
            <w:tcW w:w="0" w:type="auto"/>
            <w:shd w:val="clear" w:color="auto" w:fill="auto"/>
            <w:vAlign w:val="center"/>
          </w:tcPr>
          <w:p w14:paraId="7B0AAE1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0.567</w:t>
            </w:r>
          </w:p>
        </w:tc>
        <w:tc>
          <w:tcPr>
            <w:tcW w:w="0" w:type="auto"/>
            <w:shd w:val="clear" w:color="auto" w:fill="auto"/>
            <w:vAlign w:val="center"/>
          </w:tcPr>
          <w:p w14:paraId="7390FEEF">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0.414</w:t>
            </w:r>
          </w:p>
        </w:tc>
      </w:tr>
      <w:tr w14:paraId="2D3F7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2C81A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FFO</w:t>
            </w:r>
          </w:p>
        </w:tc>
        <w:tc>
          <w:tcPr>
            <w:tcW w:w="0" w:type="auto"/>
            <w:shd w:val="clear" w:color="auto" w:fill="auto"/>
            <w:vAlign w:val="center"/>
          </w:tcPr>
          <w:p w14:paraId="5DEDCC8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0.174</w:t>
            </w:r>
          </w:p>
        </w:tc>
        <w:tc>
          <w:tcPr>
            <w:tcW w:w="0" w:type="auto"/>
            <w:shd w:val="clear" w:color="auto" w:fill="auto"/>
            <w:vAlign w:val="center"/>
          </w:tcPr>
          <w:p w14:paraId="1671CCA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7B3C58A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0.075</w:t>
            </w:r>
          </w:p>
        </w:tc>
        <w:tc>
          <w:tcPr>
            <w:tcW w:w="0" w:type="auto"/>
            <w:shd w:val="clear" w:color="auto" w:fill="auto"/>
            <w:vAlign w:val="center"/>
          </w:tcPr>
          <w:p w14:paraId="4DD2C3C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0.683</w:t>
            </w:r>
          </w:p>
        </w:tc>
        <w:tc>
          <w:tcPr>
            <w:tcW w:w="0" w:type="auto"/>
            <w:shd w:val="clear" w:color="auto" w:fill="auto"/>
            <w:vAlign w:val="center"/>
          </w:tcPr>
          <w:p w14:paraId="5CFDBF2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0.371</w:t>
            </w:r>
          </w:p>
        </w:tc>
        <w:tc>
          <w:tcPr>
            <w:tcW w:w="0" w:type="auto"/>
            <w:shd w:val="clear" w:color="auto" w:fill="auto"/>
            <w:vAlign w:val="center"/>
          </w:tcPr>
          <w:p w14:paraId="6159143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0.343</w:t>
            </w:r>
          </w:p>
        </w:tc>
      </w:tr>
      <w:tr w14:paraId="4578E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71FD0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FL</w:t>
            </w:r>
          </w:p>
        </w:tc>
        <w:tc>
          <w:tcPr>
            <w:tcW w:w="0" w:type="auto"/>
            <w:shd w:val="clear" w:color="auto" w:fill="auto"/>
            <w:vAlign w:val="center"/>
          </w:tcPr>
          <w:p w14:paraId="7B37466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0.142</w:t>
            </w:r>
          </w:p>
        </w:tc>
        <w:tc>
          <w:tcPr>
            <w:tcW w:w="0" w:type="auto"/>
            <w:shd w:val="clear" w:color="auto" w:fill="auto"/>
            <w:vAlign w:val="center"/>
          </w:tcPr>
          <w:p w14:paraId="280DEB13">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0.075</w:t>
            </w:r>
          </w:p>
        </w:tc>
        <w:tc>
          <w:tcPr>
            <w:tcW w:w="0" w:type="auto"/>
            <w:shd w:val="clear" w:color="auto" w:fill="auto"/>
            <w:vAlign w:val="center"/>
          </w:tcPr>
          <w:p w14:paraId="37DDAD5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25A7841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0.092</w:t>
            </w:r>
          </w:p>
        </w:tc>
        <w:tc>
          <w:tcPr>
            <w:tcW w:w="0" w:type="auto"/>
            <w:shd w:val="clear" w:color="auto" w:fill="auto"/>
            <w:vAlign w:val="center"/>
          </w:tcPr>
          <w:p w14:paraId="6665C15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0.138</w:t>
            </w:r>
          </w:p>
        </w:tc>
        <w:tc>
          <w:tcPr>
            <w:tcW w:w="0" w:type="auto"/>
            <w:shd w:val="clear" w:color="auto" w:fill="auto"/>
            <w:vAlign w:val="center"/>
          </w:tcPr>
          <w:p w14:paraId="18C94892">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0.134</w:t>
            </w:r>
          </w:p>
        </w:tc>
      </w:tr>
      <w:tr w14:paraId="510EC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7CBC8E">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FMB</w:t>
            </w:r>
          </w:p>
        </w:tc>
        <w:tc>
          <w:tcPr>
            <w:tcW w:w="0" w:type="auto"/>
            <w:shd w:val="clear" w:color="auto" w:fill="auto"/>
            <w:vAlign w:val="center"/>
          </w:tcPr>
          <w:p w14:paraId="35AFD608">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0.256</w:t>
            </w:r>
          </w:p>
        </w:tc>
        <w:tc>
          <w:tcPr>
            <w:tcW w:w="0" w:type="auto"/>
            <w:shd w:val="clear" w:color="auto" w:fill="auto"/>
            <w:vAlign w:val="center"/>
          </w:tcPr>
          <w:p w14:paraId="6710627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0.683</w:t>
            </w:r>
          </w:p>
        </w:tc>
        <w:tc>
          <w:tcPr>
            <w:tcW w:w="0" w:type="auto"/>
            <w:shd w:val="clear" w:color="auto" w:fill="auto"/>
            <w:vAlign w:val="center"/>
          </w:tcPr>
          <w:p w14:paraId="451A46D2">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0.092</w:t>
            </w:r>
          </w:p>
        </w:tc>
        <w:tc>
          <w:tcPr>
            <w:tcW w:w="0" w:type="auto"/>
            <w:shd w:val="clear" w:color="auto" w:fill="auto"/>
            <w:vAlign w:val="center"/>
          </w:tcPr>
          <w:p w14:paraId="1E349EF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3EE965F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0.382</w:t>
            </w:r>
          </w:p>
        </w:tc>
        <w:tc>
          <w:tcPr>
            <w:tcW w:w="0" w:type="auto"/>
            <w:shd w:val="clear" w:color="auto" w:fill="auto"/>
            <w:vAlign w:val="center"/>
          </w:tcPr>
          <w:p w14:paraId="3EEA092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0.385</w:t>
            </w:r>
          </w:p>
        </w:tc>
      </w:tr>
      <w:tr w14:paraId="7ACC6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AF85D5">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ISB</w:t>
            </w:r>
          </w:p>
        </w:tc>
        <w:tc>
          <w:tcPr>
            <w:tcW w:w="0" w:type="auto"/>
            <w:shd w:val="clear" w:color="auto" w:fill="auto"/>
            <w:vAlign w:val="center"/>
          </w:tcPr>
          <w:p w14:paraId="3815827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0.567</w:t>
            </w:r>
          </w:p>
        </w:tc>
        <w:tc>
          <w:tcPr>
            <w:tcW w:w="0" w:type="auto"/>
            <w:shd w:val="clear" w:color="auto" w:fill="auto"/>
            <w:vAlign w:val="center"/>
          </w:tcPr>
          <w:p w14:paraId="7508D09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0.371</w:t>
            </w:r>
          </w:p>
        </w:tc>
        <w:tc>
          <w:tcPr>
            <w:tcW w:w="0" w:type="auto"/>
            <w:shd w:val="clear" w:color="auto" w:fill="auto"/>
            <w:vAlign w:val="center"/>
          </w:tcPr>
          <w:p w14:paraId="21C9FDE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0.138</w:t>
            </w:r>
          </w:p>
        </w:tc>
        <w:tc>
          <w:tcPr>
            <w:tcW w:w="0" w:type="auto"/>
            <w:shd w:val="clear" w:color="auto" w:fill="auto"/>
            <w:vAlign w:val="center"/>
          </w:tcPr>
          <w:p w14:paraId="762B3D2E">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0.382</w:t>
            </w:r>
          </w:p>
        </w:tc>
        <w:tc>
          <w:tcPr>
            <w:tcW w:w="0" w:type="auto"/>
            <w:shd w:val="clear" w:color="auto" w:fill="auto"/>
            <w:vAlign w:val="center"/>
          </w:tcPr>
          <w:p w14:paraId="4840AC0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shd w:val="clear" w:color="auto" w:fill="auto"/>
            <w:vAlign w:val="center"/>
          </w:tcPr>
          <w:p w14:paraId="5B5DFB0E">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0.653</w:t>
            </w:r>
          </w:p>
        </w:tc>
      </w:tr>
      <w:tr w14:paraId="4D377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B9ED4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SI</w:t>
            </w:r>
          </w:p>
        </w:tc>
        <w:tc>
          <w:tcPr>
            <w:tcW w:w="0" w:type="auto"/>
            <w:shd w:val="clear" w:color="auto" w:fill="auto"/>
            <w:vAlign w:val="center"/>
          </w:tcPr>
          <w:p w14:paraId="400A48B8">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0.414</w:t>
            </w:r>
          </w:p>
        </w:tc>
        <w:tc>
          <w:tcPr>
            <w:tcW w:w="0" w:type="auto"/>
            <w:shd w:val="clear" w:color="auto" w:fill="auto"/>
            <w:vAlign w:val="center"/>
          </w:tcPr>
          <w:p w14:paraId="1C9C5982">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0.343</w:t>
            </w:r>
          </w:p>
        </w:tc>
        <w:tc>
          <w:tcPr>
            <w:tcW w:w="0" w:type="auto"/>
            <w:shd w:val="clear" w:color="auto" w:fill="auto"/>
            <w:vAlign w:val="center"/>
          </w:tcPr>
          <w:p w14:paraId="6C4BFE0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0.134</w:t>
            </w:r>
          </w:p>
        </w:tc>
        <w:tc>
          <w:tcPr>
            <w:tcW w:w="0" w:type="auto"/>
            <w:shd w:val="clear" w:color="auto" w:fill="auto"/>
            <w:vAlign w:val="center"/>
          </w:tcPr>
          <w:p w14:paraId="790ED85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0.385</w:t>
            </w:r>
          </w:p>
        </w:tc>
        <w:tc>
          <w:tcPr>
            <w:tcW w:w="0" w:type="auto"/>
            <w:shd w:val="clear" w:color="auto" w:fill="auto"/>
            <w:vAlign w:val="center"/>
          </w:tcPr>
          <w:p w14:paraId="2E60B32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0.653</w:t>
            </w:r>
          </w:p>
        </w:tc>
        <w:tc>
          <w:tcPr>
            <w:tcW w:w="0" w:type="auto"/>
            <w:shd w:val="clear" w:color="auto" w:fill="auto"/>
            <w:vAlign w:val="center"/>
          </w:tcPr>
          <w:p w14:paraId="471EA7D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t>
            </w:r>
          </w:p>
        </w:tc>
      </w:tr>
    </w:tbl>
    <w:p w14:paraId="042B076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Note. DFB = Digital Financial Behavior; FFO = Future Financial Orientation; FL = Financial Literacy; FMB = Financial Management Behavior; ISB = Impulsive Spending Behavior; SI = Social Influence. Diagonal entries are omitted. All reported HTMT ratios were below 0.85. The largest ratios were observed between FMB and FFO (0.683) and between SI and ISB (0.653). HTMT values involving single-indicator constructs should be interpreted cautiously.</w:t>
      </w:r>
    </w:p>
    <w:p w14:paraId="32E7157B">
      <w:pPr>
        <w:pStyle w:val="19"/>
        <w:keepNext w:val="0"/>
        <w:keepLines w:val="0"/>
        <w:widowControl/>
        <w:suppressLineNumbers w:val="0"/>
        <w:rPr>
          <w:rFonts w:hint="default"/>
        </w:rPr>
      </w:pPr>
      <w:r>
        <w:rPr>
          <w:rFonts w:hint="default" w:ascii="Times New Roman" w:hAnsi="Times New Roman" w:cs="Times New Roman"/>
          <w:sz w:val="22"/>
          <w:szCs w:val="22"/>
        </w:rPr>
        <w:t>Inner-model variance inflation factor (VIF) values ranged from 1.015 to 1.132, indicating no substantial collinearity concerns among the structural predictors. Overall, the results support the reliability, convergent validity, and discriminant validity of the four multi-item constructs, while the single-indicator measures retain their inherent measurement limitations</w:t>
      </w:r>
      <w:r>
        <w:rPr>
          <w:rFonts w:hint="default" w:cs="Times New Roman"/>
          <w:sz w:val="22"/>
          <w:szCs w:val="22"/>
          <w:lang w:val="en-US"/>
        </w:rPr>
        <w:t>.</w:t>
      </w:r>
    </w:p>
    <w:p w14:paraId="3673210D">
      <w:pPr>
        <w:pStyle w:val="6"/>
        <w:bidi w:val="0"/>
        <w:rPr>
          <w:rFonts w:hint="default"/>
        </w:rPr>
      </w:pPr>
      <w:r>
        <w:rPr>
          <w:rFonts w:hint="default"/>
        </w:rPr>
        <w:t>4.3 Structural Model Assessment</w:t>
      </w:r>
    </w:p>
    <w:p w14:paraId="7777B1F6">
      <w:pPr>
        <w:pStyle w:val="4"/>
        <w:rPr>
          <w:rFonts w:hint="default"/>
          <w:lang w:val="en-US"/>
        </w:rPr>
      </w:pPr>
      <w:r>
        <w:rPr>
          <w:rFonts w:hint="default"/>
          <w:lang w:val="en-US"/>
        </w:rPr>
        <w:t>Figure-3: Final structural Model</w:t>
      </w:r>
    </w:p>
    <w:p w14:paraId="259B3B66">
      <w:pPr>
        <w:pStyle w:val="4"/>
        <w:rPr>
          <w:rFonts w:hint="default"/>
          <w:lang w:val="en-US"/>
        </w:rPr>
      </w:pPr>
      <w:r>
        <w:rPr>
          <w:rFonts w:hint="default"/>
          <w:lang w:val="en-US"/>
        </w:rPr>
        <w:drawing>
          <wp:inline distT="0" distB="0" distL="114300" distR="114300">
            <wp:extent cx="6409690" cy="4035425"/>
            <wp:effectExtent l="0" t="0" r="10160" b="3175"/>
            <wp:docPr id="1" name="Picture 1" descr="Figure_3_Final_Structural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_3_Final_Structural_Model"/>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6409690" cy="4035425"/>
                    </a:xfrm>
                    <a:prstGeom prst="rect">
                      <a:avLst/>
                    </a:prstGeom>
                  </pic:spPr>
                </pic:pic>
              </a:graphicData>
            </a:graphic>
          </wp:inline>
        </w:drawing>
      </w:r>
    </w:p>
    <w:p w14:paraId="7976F453">
      <w:pPr>
        <w:pStyle w:val="4"/>
        <w:rPr>
          <w:rFonts w:hint="default"/>
          <w:lang w:val="en-US"/>
        </w:rPr>
      </w:pPr>
    </w:p>
    <w:p w14:paraId="7C6D34EE">
      <w:pPr>
        <w:pStyle w:val="4"/>
        <w:rPr>
          <w:rFonts w:hint="default"/>
          <w:lang w:val="en-US"/>
        </w:rPr>
      </w:pPr>
    </w:p>
    <w:p w14:paraId="0719BDB6">
      <w:pPr>
        <w:pStyle w:val="4"/>
        <w:rPr>
          <w:rFonts w:hint="default"/>
          <w:lang w:val="en-US"/>
        </w:rPr>
      </w:pPr>
    </w:p>
    <w:p w14:paraId="214E0437">
      <w:pPr>
        <w:pStyle w:val="4"/>
        <w:rPr>
          <w:rFonts w:hint="default"/>
          <w:lang w:val="en-US"/>
        </w:rPr>
      </w:pPr>
    </w:p>
    <w:p w14:paraId="54FF5A51">
      <w:pPr>
        <w:pStyle w:val="4"/>
        <w:rPr>
          <w:rFonts w:hint="default"/>
          <w:lang w:val="en-US"/>
        </w:rPr>
      </w:pPr>
    </w:p>
    <w:p w14:paraId="5B2BFCA5">
      <w:pPr>
        <w:pStyle w:val="4"/>
        <w:rPr>
          <w:rFonts w:hint="default"/>
          <w:lang w:val="en-US"/>
        </w:rPr>
      </w:pPr>
    </w:p>
    <w:p w14:paraId="120EC5A6">
      <w:pPr>
        <w:pStyle w:val="4"/>
        <w:rPr>
          <w:rFonts w:hint="default"/>
          <w:lang w:val="en-US"/>
        </w:rPr>
      </w:pPr>
    </w:p>
    <w:p w14:paraId="64E43DA3">
      <w:pPr>
        <w:pStyle w:val="4"/>
        <w:rPr>
          <w:rFonts w:hint="default"/>
          <w:lang w:val="en-US"/>
        </w:rPr>
      </w:pPr>
    </w:p>
    <w:p w14:paraId="2799E92E">
      <w:pPr>
        <w:pStyle w:val="4"/>
        <w:rPr>
          <w:rFonts w:hint="default"/>
          <w:lang w:val="en-US"/>
        </w:rPr>
      </w:pPr>
    </w:p>
    <w:p w14:paraId="44E0CA1D">
      <w:pPr>
        <w:pStyle w:val="4"/>
        <w:rPr>
          <w:rFonts w:hint="default"/>
          <w:lang w:val="en-US"/>
        </w:rPr>
      </w:pPr>
    </w:p>
    <w:p w14:paraId="5F2E2A3A">
      <w:pPr>
        <w:pStyle w:val="4"/>
        <w:rPr>
          <w:rFonts w:hint="default"/>
          <w:lang w:val="en-US"/>
        </w:rPr>
      </w:pPr>
    </w:p>
    <w:p w14:paraId="2DED8B14">
      <w:pPr>
        <w:pStyle w:val="4"/>
        <w:rPr>
          <w:rFonts w:hint="default"/>
          <w:lang w:val="en-US"/>
        </w:rPr>
      </w:pPr>
    </w:p>
    <w:p w14:paraId="7F605580">
      <w:pPr>
        <w:pStyle w:val="4"/>
        <w:rPr>
          <w:rFonts w:hint="default"/>
        </w:rPr>
      </w:pPr>
    </w:p>
    <w:p w14:paraId="56C3BF3C">
      <w:pPr>
        <w:pStyle w:val="4"/>
        <w:rPr>
          <w:rFonts w:hint="default"/>
        </w:rPr>
      </w:pPr>
    </w:p>
    <w:p w14:paraId="0F08D7E2">
      <w:pPr>
        <w:pStyle w:val="6"/>
        <w:keepNext w:val="0"/>
        <w:keepLines w:val="0"/>
        <w:widowControl/>
        <w:suppressLineNumbers w:val="0"/>
      </w:pPr>
      <w:r>
        <w:t>4.3 Structural Model Assessment and Direct Hypothesis Testing</w:t>
      </w:r>
    </w:p>
    <w:p w14:paraId="33373AD5">
      <w:pPr>
        <w:pStyle w:val="19"/>
        <w:keepNext w:val="0"/>
        <w:keepLines w:val="0"/>
        <w:widowControl/>
        <w:suppressLineNumbers w:val="0"/>
      </w:pPr>
      <w:r>
        <w:t>Of the seven hypothesized direct relationships, five were supported in their proposed directions. Six relationships were statistically significant; however, H1 was significant in the opposite direction to that hypothesized, while H4 was statistically nonsignificant. All four specified indirect associations were statistically significant. The structural model was evaluated using standardized path coefficients, bootstrapping with 5,000 subsamples, 95% bias-corrected bootstrap confidence intervals, coefficients of determination, and effect sizes. Table 5 reports the direct-path estimates and decisions for the seven hypothesized relationships.</w:t>
      </w:r>
    </w:p>
    <w:p w14:paraId="7742DC6E">
      <w:pPr>
        <w:pStyle w:val="19"/>
        <w:keepNext w:val="0"/>
        <w:keepLines w:val="0"/>
        <w:widowControl/>
        <w:suppressLineNumbers w:val="0"/>
      </w:pPr>
      <w:r>
        <w:rPr>
          <w:rStyle w:val="20"/>
        </w:rPr>
        <w:t>Table 5. Structural Path Coefficients and Direct Hypothesis Testing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23"/>
        <w:gridCol w:w="1209"/>
        <w:gridCol w:w="1094"/>
        <w:gridCol w:w="1553"/>
        <w:gridCol w:w="1209"/>
        <w:gridCol w:w="744"/>
        <w:gridCol w:w="744"/>
        <w:gridCol w:w="1094"/>
        <w:gridCol w:w="1328"/>
      </w:tblGrid>
      <w:tr w14:paraId="32E4D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50F56A">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Hypothesis</w:t>
            </w:r>
          </w:p>
        </w:tc>
        <w:tc>
          <w:tcPr>
            <w:tcW w:w="0" w:type="auto"/>
            <w:shd w:val="clear"/>
            <w:vAlign w:val="center"/>
          </w:tcPr>
          <w:p w14:paraId="44180AED">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Structural path</w:t>
            </w:r>
          </w:p>
        </w:tc>
        <w:tc>
          <w:tcPr>
            <w:tcW w:w="0" w:type="auto"/>
            <w:shd w:val="clear"/>
            <w:vAlign w:val="center"/>
          </w:tcPr>
          <w:p w14:paraId="39E7CEC9">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Expected direction</w:t>
            </w:r>
          </w:p>
        </w:tc>
        <w:tc>
          <w:tcPr>
            <w:tcW w:w="0" w:type="auto"/>
            <w:shd w:val="clear"/>
            <w:vAlign w:val="center"/>
          </w:tcPr>
          <w:p w14:paraId="6D5EA422">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β (standardized coefficient)</w:t>
            </w:r>
          </w:p>
        </w:tc>
        <w:tc>
          <w:tcPr>
            <w:tcW w:w="0" w:type="auto"/>
            <w:shd w:val="clear"/>
            <w:vAlign w:val="center"/>
          </w:tcPr>
          <w:p w14:paraId="336F7F3E">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SE (bootstrap STDEV)</w:t>
            </w:r>
          </w:p>
        </w:tc>
        <w:tc>
          <w:tcPr>
            <w:tcW w:w="0" w:type="auto"/>
            <w:shd w:val="clear"/>
            <w:vAlign w:val="center"/>
          </w:tcPr>
          <w:p w14:paraId="46E5B8F9">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t-value</w:t>
            </w:r>
          </w:p>
        </w:tc>
        <w:tc>
          <w:tcPr>
            <w:tcW w:w="0" w:type="auto"/>
            <w:shd w:val="clear"/>
            <w:vAlign w:val="center"/>
          </w:tcPr>
          <w:p w14:paraId="242FB7BA">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p-value</w:t>
            </w:r>
          </w:p>
        </w:tc>
        <w:tc>
          <w:tcPr>
            <w:tcW w:w="0" w:type="auto"/>
            <w:shd w:val="clear"/>
            <w:vAlign w:val="center"/>
          </w:tcPr>
          <w:p w14:paraId="2DF8859E">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95% bias-corrected bootstrap CI</w:t>
            </w:r>
          </w:p>
        </w:tc>
        <w:tc>
          <w:tcPr>
            <w:tcW w:w="0" w:type="auto"/>
            <w:shd w:val="clear"/>
            <w:vAlign w:val="center"/>
          </w:tcPr>
          <w:p w14:paraId="25510467">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Decision</w:t>
            </w:r>
          </w:p>
        </w:tc>
      </w:tr>
      <w:tr w14:paraId="0901E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2A55CB">
            <w:pPr>
              <w:keepNext w:val="0"/>
              <w:keepLines w:val="0"/>
              <w:widowControl/>
              <w:suppressLineNumbers w:val="0"/>
              <w:jc w:val="left"/>
            </w:pPr>
            <w:r>
              <w:rPr>
                <w:rFonts w:ascii="SimSun" w:hAnsi="SimSun" w:eastAsia="SimSun" w:cs="SimSun"/>
                <w:color w:val="auto"/>
                <w:kern w:val="0"/>
                <w:sz w:val="24"/>
                <w:szCs w:val="24"/>
                <w:lang w:val="en-US" w:eastAsia="zh-CN" w:bidi="ar"/>
              </w:rPr>
              <w:t>H1</w:t>
            </w:r>
          </w:p>
        </w:tc>
        <w:tc>
          <w:tcPr>
            <w:tcW w:w="0" w:type="auto"/>
            <w:shd w:val="clear"/>
            <w:vAlign w:val="center"/>
          </w:tcPr>
          <w:p w14:paraId="6726BB4A">
            <w:pPr>
              <w:keepNext w:val="0"/>
              <w:keepLines w:val="0"/>
              <w:widowControl/>
              <w:suppressLineNumbers w:val="0"/>
              <w:jc w:val="left"/>
            </w:pPr>
            <w:r>
              <w:rPr>
                <w:rFonts w:ascii="SimSun" w:hAnsi="SimSun" w:eastAsia="SimSun" w:cs="SimSun"/>
                <w:color w:val="auto"/>
                <w:kern w:val="0"/>
                <w:sz w:val="24"/>
                <w:szCs w:val="24"/>
                <w:lang w:val="en-US" w:eastAsia="zh-CN" w:bidi="ar"/>
              </w:rPr>
              <w:t>DFB → FMB</w:t>
            </w:r>
          </w:p>
        </w:tc>
        <w:tc>
          <w:tcPr>
            <w:tcW w:w="0" w:type="auto"/>
            <w:shd w:val="clear"/>
            <w:vAlign w:val="center"/>
          </w:tcPr>
          <w:p w14:paraId="1DFD9013">
            <w:pPr>
              <w:keepNext w:val="0"/>
              <w:keepLines w:val="0"/>
              <w:widowControl/>
              <w:suppressLineNumbers w:val="0"/>
              <w:jc w:val="left"/>
            </w:pPr>
            <w:r>
              <w:rPr>
                <w:rFonts w:ascii="SimSun" w:hAnsi="SimSun" w:eastAsia="SimSun" w:cs="SimSun"/>
                <w:color w:val="auto"/>
                <w:kern w:val="0"/>
                <w:sz w:val="24"/>
                <w:szCs w:val="24"/>
                <w:lang w:val="en-US" w:eastAsia="zh-CN" w:bidi="ar"/>
              </w:rPr>
              <w:t>Positive (+)</w:t>
            </w:r>
          </w:p>
        </w:tc>
        <w:tc>
          <w:tcPr>
            <w:tcW w:w="0" w:type="auto"/>
            <w:shd w:val="clear"/>
            <w:vAlign w:val="center"/>
          </w:tcPr>
          <w:p w14:paraId="063E6083">
            <w:pPr>
              <w:keepNext w:val="0"/>
              <w:keepLines w:val="0"/>
              <w:widowControl/>
              <w:suppressLineNumbers w:val="0"/>
              <w:jc w:val="left"/>
            </w:pPr>
            <w:r>
              <w:rPr>
                <w:rFonts w:ascii="SimSun" w:hAnsi="SimSun" w:eastAsia="SimSun" w:cs="SimSun"/>
                <w:color w:val="auto"/>
                <w:kern w:val="0"/>
                <w:sz w:val="24"/>
                <w:szCs w:val="24"/>
                <w:lang w:val="en-US" w:eastAsia="zh-CN" w:bidi="ar"/>
              </w:rPr>
              <w:t>−0.216</w:t>
            </w:r>
          </w:p>
        </w:tc>
        <w:tc>
          <w:tcPr>
            <w:tcW w:w="0" w:type="auto"/>
            <w:shd w:val="clear"/>
            <w:vAlign w:val="center"/>
          </w:tcPr>
          <w:p w14:paraId="49EA70FF">
            <w:pPr>
              <w:keepNext w:val="0"/>
              <w:keepLines w:val="0"/>
              <w:widowControl/>
              <w:suppressLineNumbers w:val="0"/>
              <w:jc w:val="left"/>
            </w:pPr>
            <w:r>
              <w:rPr>
                <w:rFonts w:ascii="SimSun" w:hAnsi="SimSun" w:eastAsia="SimSun" w:cs="SimSun"/>
                <w:color w:val="auto"/>
                <w:kern w:val="0"/>
                <w:sz w:val="24"/>
                <w:szCs w:val="24"/>
                <w:lang w:val="en-US" w:eastAsia="zh-CN" w:bidi="ar"/>
              </w:rPr>
              <w:t>0.043</w:t>
            </w:r>
          </w:p>
        </w:tc>
        <w:tc>
          <w:tcPr>
            <w:tcW w:w="0" w:type="auto"/>
            <w:shd w:val="clear"/>
            <w:vAlign w:val="center"/>
          </w:tcPr>
          <w:p w14:paraId="1A71EBCE">
            <w:pPr>
              <w:keepNext w:val="0"/>
              <w:keepLines w:val="0"/>
              <w:widowControl/>
              <w:suppressLineNumbers w:val="0"/>
              <w:jc w:val="left"/>
            </w:pPr>
            <w:r>
              <w:rPr>
                <w:rFonts w:ascii="SimSun" w:hAnsi="SimSun" w:eastAsia="SimSun" w:cs="SimSun"/>
                <w:color w:val="auto"/>
                <w:kern w:val="0"/>
                <w:sz w:val="24"/>
                <w:szCs w:val="24"/>
                <w:lang w:val="en-US" w:eastAsia="zh-CN" w:bidi="ar"/>
              </w:rPr>
              <w:t>5.072</w:t>
            </w:r>
          </w:p>
        </w:tc>
        <w:tc>
          <w:tcPr>
            <w:tcW w:w="0" w:type="auto"/>
            <w:shd w:val="clear"/>
            <w:vAlign w:val="center"/>
          </w:tcPr>
          <w:p w14:paraId="3B7FBA78">
            <w:pPr>
              <w:keepNext w:val="0"/>
              <w:keepLines w:val="0"/>
              <w:widowControl/>
              <w:suppressLineNumbers w:val="0"/>
              <w:jc w:val="left"/>
            </w:pPr>
            <w:r>
              <w:rPr>
                <w:rFonts w:ascii="SimSun" w:hAnsi="SimSun" w:eastAsia="SimSun" w:cs="SimSun"/>
                <w:color w:val="auto"/>
                <w:kern w:val="0"/>
                <w:sz w:val="24"/>
                <w:szCs w:val="24"/>
                <w:lang w:val="en-US" w:eastAsia="zh-CN" w:bidi="ar"/>
              </w:rPr>
              <w:t>&lt; .001</w:t>
            </w:r>
          </w:p>
        </w:tc>
        <w:tc>
          <w:tcPr>
            <w:tcW w:w="0" w:type="auto"/>
            <w:shd w:val="clear"/>
            <w:vAlign w:val="center"/>
          </w:tcPr>
          <w:p w14:paraId="693928C5">
            <w:pPr>
              <w:keepNext w:val="0"/>
              <w:keepLines w:val="0"/>
              <w:widowControl/>
              <w:suppressLineNumbers w:val="0"/>
              <w:jc w:val="left"/>
            </w:pPr>
            <w:r>
              <w:rPr>
                <w:rFonts w:ascii="SimSun" w:hAnsi="SimSun" w:eastAsia="SimSun" w:cs="SimSun"/>
                <w:color w:val="auto"/>
                <w:kern w:val="0"/>
                <w:sz w:val="24"/>
                <w:szCs w:val="24"/>
                <w:lang w:val="en-US" w:eastAsia="zh-CN" w:bidi="ar"/>
              </w:rPr>
              <w:t>[−0.297, −0.129]</w:t>
            </w:r>
          </w:p>
        </w:tc>
        <w:tc>
          <w:tcPr>
            <w:tcW w:w="0" w:type="auto"/>
            <w:shd w:val="clear"/>
            <w:vAlign w:val="center"/>
          </w:tcPr>
          <w:p w14:paraId="04BC4D53">
            <w:pPr>
              <w:keepNext w:val="0"/>
              <w:keepLines w:val="0"/>
              <w:widowControl/>
              <w:suppressLineNumbers w:val="0"/>
              <w:jc w:val="left"/>
            </w:pPr>
            <w:r>
              <w:rPr>
                <w:rFonts w:ascii="SimSun" w:hAnsi="SimSun" w:eastAsia="SimSun" w:cs="SimSun"/>
                <w:color w:val="auto"/>
                <w:kern w:val="0"/>
                <w:sz w:val="24"/>
                <w:szCs w:val="24"/>
                <w:lang w:val="en-US" w:eastAsia="zh-CN" w:bidi="ar"/>
              </w:rPr>
              <w:t>Not supported; significant opposite direction</w:t>
            </w:r>
          </w:p>
        </w:tc>
      </w:tr>
      <w:tr w14:paraId="65043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FA337D">
            <w:pPr>
              <w:keepNext w:val="0"/>
              <w:keepLines w:val="0"/>
              <w:widowControl/>
              <w:suppressLineNumbers w:val="0"/>
              <w:jc w:val="left"/>
            </w:pPr>
            <w:r>
              <w:rPr>
                <w:rFonts w:ascii="SimSun" w:hAnsi="SimSun" w:eastAsia="SimSun" w:cs="SimSun"/>
                <w:color w:val="auto"/>
                <w:kern w:val="0"/>
                <w:sz w:val="24"/>
                <w:szCs w:val="24"/>
                <w:lang w:val="en-US" w:eastAsia="zh-CN" w:bidi="ar"/>
              </w:rPr>
              <w:t>H2</w:t>
            </w:r>
          </w:p>
        </w:tc>
        <w:tc>
          <w:tcPr>
            <w:tcW w:w="0" w:type="auto"/>
            <w:shd w:val="clear"/>
            <w:vAlign w:val="center"/>
          </w:tcPr>
          <w:p w14:paraId="1EE516C3">
            <w:pPr>
              <w:keepNext w:val="0"/>
              <w:keepLines w:val="0"/>
              <w:widowControl/>
              <w:suppressLineNumbers w:val="0"/>
              <w:jc w:val="left"/>
            </w:pPr>
            <w:r>
              <w:rPr>
                <w:rFonts w:ascii="SimSun" w:hAnsi="SimSun" w:eastAsia="SimSun" w:cs="SimSun"/>
                <w:color w:val="auto"/>
                <w:kern w:val="0"/>
                <w:sz w:val="24"/>
                <w:szCs w:val="24"/>
                <w:lang w:val="en-US" w:eastAsia="zh-CN" w:bidi="ar"/>
              </w:rPr>
              <w:t>DFB → ISB</w:t>
            </w:r>
          </w:p>
        </w:tc>
        <w:tc>
          <w:tcPr>
            <w:tcW w:w="0" w:type="auto"/>
            <w:shd w:val="clear"/>
            <w:vAlign w:val="center"/>
          </w:tcPr>
          <w:p w14:paraId="0D6C659F">
            <w:pPr>
              <w:keepNext w:val="0"/>
              <w:keepLines w:val="0"/>
              <w:widowControl/>
              <w:suppressLineNumbers w:val="0"/>
              <w:jc w:val="left"/>
            </w:pPr>
            <w:r>
              <w:rPr>
                <w:rFonts w:ascii="SimSun" w:hAnsi="SimSun" w:eastAsia="SimSun" w:cs="SimSun"/>
                <w:color w:val="auto"/>
                <w:kern w:val="0"/>
                <w:sz w:val="24"/>
                <w:szCs w:val="24"/>
                <w:lang w:val="en-US" w:eastAsia="zh-CN" w:bidi="ar"/>
              </w:rPr>
              <w:t>Positive (+)</w:t>
            </w:r>
          </w:p>
        </w:tc>
        <w:tc>
          <w:tcPr>
            <w:tcW w:w="0" w:type="auto"/>
            <w:shd w:val="clear"/>
            <w:vAlign w:val="center"/>
          </w:tcPr>
          <w:p w14:paraId="52DA9C08">
            <w:pPr>
              <w:keepNext w:val="0"/>
              <w:keepLines w:val="0"/>
              <w:widowControl/>
              <w:suppressLineNumbers w:val="0"/>
              <w:jc w:val="left"/>
            </w:pPr>
            <w:r>
              <w:rPr>
                <w:rFonts w:ascii="SimSun" w:hAnsi="SimSun" w:eastAsia="SimSun" w:cs="SimSun"/>
                <w:color w:val="auto"/>
                <w:kern w:val="0"/>
                <w:sz w:val="24"/>
                <w:szCs w:val="24"/>
                <w:lang w:val="en-US" w:eastAsia="zh-CN" w:bidi="ar"/>
              </w:rPr>
              <w:t>0.292</w:t>
            </w:r>
          </w:p>
        </w:tc>
        <w:tc>
          <w:tcPr>
            <w:tcW w:w="0" w:type="auto"/>
            <w:shd w:val="clear"/>
            <w:vAlign w:val="center"/>
          </w:tcPr>
          <w:p w14:paraId="02D1016E">
            <w:pPr>
              <w:keepNext w:val="0"/>
              <w:keepLines w:val="0"/>
              <w:widowControl/>
              <w:suppressLineNumbers w:val="0"/>
              <w:jc w:val="left"/>
            </w:pPr>
            <w:r>
              <w:rPr>
                <w:rFonts w:ascii="SimSun" w:hAnsi="SimSun" w:eastAsia="SimSun" w:cs="SimSun"/>
                <w:color w:val="auto"/>
                <w:kern w:val="0"/>
                <w:sz w:val="24"/>
                <w:szCs w:val="24"/>
                <w:lang w:val="en-US" w:eastAsia="zh-CN" w:bidi="ar"/>
              </w:rPr>
              <w:t>0.040</w:t>
            </w:r>
          </w:p>
        </w:tc>
        <w:tc>
          <w:tcPr>
            <w:tcW w:w="0" w:type="auto"/>
            <w:shd w:val="clear"/>
            <w:vAlign w:val="center"/>
          </w:tcPr>
          <w:p w14:paraId="08769C4C">
            <w:pPr>
              <w:keepNext w:val="0"/>
              <w:keepLines w:val="0"/>
              <w:widowControl/>
              <w:suppressLineNumbers w:val="0"/>
              <w:jc w:val="left"/>
            </w:pPr>
            <w:r>
              <w:rPr>
                <w:rFonts w:ascii="SimSun" w:hAnsi="SimSun" w:eastAsia="SimSun" w:cs="SimSun"/>
                <w:color w:val="auto"/>
                <w:kern w:val="0"/>
                <w:sz w:val="24"/>
                <w:szCs w:val="24"/>
                <w:lang w:val="en-US" w:eastAsia="zh-CN" w:bidi="ar"/>
              </w:rPr>
              <w:t>7.291</w:t>
            </w:r>
          </w:p>
        </w:tc>
        <w:tc>
          <w:tcPr>
            <w:tcW w:w="0" w:type="auto"/>
            <w:shd w:val="clear"/>
            <w:vAlign w:val="center"/>
          </w:tcPr>
          <w:p w14:paraId="126A235A">
            <w:pPr>
              <w:keepNext w:val="0"/>
              <w:keepLines w:val="0"/>
              <w:widowControl/>
              <w:suppressLineNumbers w:val="0"/>
              <w:jc w:val="left"/>
            </w:pPr>
            <w:r>
              <w:rPr>
                <w:rFonts w:ascii="SimSun" w:hAnsi="SimSun" w:eastAsia="SimSun" w:cs="SimSun"/>
                <w:color w:val="auto"/>
                <w:kern w:val="0"/>
                <w:sz w:val="24"/>
                <w:szCs w:val="24"/>
                <w:lang w:val="en-US" w:eastAsia="zh-CN" w:bidi="ar"/>
              </w:rPr>
              <w:t>&lt; .001</w:t>
            </w:r>
          </w:p>
        </w:tc>
        <w:tc>
          <w:tcPr>
            <w:tcW w:w="0" w:type="auto"/>
            <w:shd w:val="clear"/>
            <w:vAlign w:val="center"/>
          </w:tcPr>
          <w:p w14:paraId="4EBBA642">
            <w:pPr>
              <w:keepNext w:val="0"/>
              <w:keepLines w:val="0"/>
              <w:widowControl/>
              <w:suppressLineNumbers w:val="0"/>
              <w:jc w:val="left"/>
            </w:pPr>
            <w:r>
              <w:rPr>
                <w:rFonts w:ascii="SimSun" w:hAnsi="SimSun" w:eastAsia="SimSun" w:cs="SimSun"/>
                <w:color w:val="auto"/>
                <w:kern w:val="0"/>
                <w:sz w:val="24"/>
                <w:szCs w:val="24"/>
                <w:lang w:val="en-US" w:eastAsia="zh-CN" w:bidi="ar"/>
              </w:rPr>
              <w:t>[0.208, 0.364]</w:t>
            </w:r>
          </w:p>
        </w:tc>
        <w:tc>
          <w:tcPr>
            <w:tcW w:w="0" w:type="auto"/>
            <w:shd w:val="clear"/>
            <w:vAlign w:val="center"/>
          </w:tcPr>
          <w:p w14:paraId="62ADEAB0">
            <w:pPr>
              <w:keepNext w:val="0"/>
              <w:keepLines w:val="0"/>
              <w:widowControl/>
              <w:suppressLineNumbers w:val="0"/>
              <w:jc w:val="left"/>
            </w:pPr>
            <w:r>
              <w:rPr>
                <w:rFonts w:ascii="SimSun" w:hAnsi="SimSun" w:eastAsia="SimSun" w:cs="SimSun"/>
                <w:color w:val="auto"/>
                <w:kern w:val="0"/>
                <w:sz w:val="24"/>
                <w:szCs w:val="24"/>
                <w:lang w:val="en-US" w:eastAsia="zh-CN" w:bidi="ar"/>
              </w:rPr>
              <w:t>Supported</w:t>
            </w:r>
          </w:p>
        </w:tc>
      </w:tr>
      <w:tr w14:paraId="1F8BA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CD24C6">
            <w:pPr>
              <w:keepNext w:val="0"/>
              <w:keepLines w:val="0"/>
              <w:widowControl/>
              <w:suppressLineNumbers w:val="0"/>
              <w:jc w:val="left"/>
            </w:pPr>
            <w:r>
              <w:rPr>
                <w:rFonts w:ascii="SimSun" w:hAnsi="SimSun" w:eastAsia="SimSun" w:cs="SimSun"/>
                <w:color w:val="auto"/>
                <w:kern w:val="0"/>
                <w:sz w:val="24"/>
                <w:szCs w:val="24"/>
                <w:lang w:val="en-US" w:eastAsia="zh-CN" w:bidi="ar"/>
              </w:rPr>
              <w:t>H3</w:t>
            </w:r>
          </w:p>
        </w:tc>
        <w:tc>
          <w:tcPr>
            <w:tcW w:w="0" w:type="auto"/>
            <w:shd w:val="clear"/>
            <w:vAlign w:val="center"/>
          </w:tcPr>
          <w:p w14:paraId="6E1CF112">
            <w:pPr>
              <w:keepNext w:val="0"/>
              <w:keepLines w:val="0"/>
              <w:widowControl/>
              <w:suppressLineNumbers w:val="0"/>
              <w:jc w:val="left"/>
            </w:pPr>
            <w:r>
              <w:rPr>
                <w:rFonts w:ascii="SimSun" w:hAnsi="SimSun" w:eastAsia="SimSun" w:cs="SimSun"/>
                <w:color w:val="auto"/>
                <w:kern w:val="0"/>
                <w:sz w:val="24"/>
                <w:szCs w:val="24"/>
                <w:lang w:val="en-US" w:eastAsia="zh-CN" w:bidi="ar"/>
              </w:rPr>
              <w:t>FL → FMB</w:t>
            </w:r>
          </w:p>
        </w:tc>
        <w:tc>
          <w:tcPr>
            <w:tcW w:w="0" w:type="auto"/>
            <w:shd w:val="clear"/>
            <w:vAlign w:val="center"/>
          </w:tcPr>
          <w:p w14:paraId="5549BD7D">
            <w:pPr>
              <w:keepNext w:val="0"/>
              <w:keepLines w:val="0"/>
              <w:widowControl/>
              <w:suppressLineNumbers w:val="0"/>
              <w:jc w:val="left"/>
            </w:pPr>
            <w:r>
              <w:rPr>
                <w:rFonts w:ascii="SimSun" w:hAnsi="SimSun" w:eastAsia="SimSun" w:cs="SimSun"/>
                <w:color w:val="auto"/>
                <w:kern w:val="0"/>
                <w:sz w:val="24"/>
                <w:szCs w:val="24"/>
                <w:lang w:val="en-US" w:eastAsia="zh-CN" w:bidi="ar"/>
              </w:rPr>
              <w:t>Positive (+)</w:t>
            </w:r>
          </w:p>
        </w:tc>
        <w:tc>
          <w:tcPr>
            <w:tcW w:w="0" w:type="auto"/>
            <w:shd w:val="clear"/>
            <w:vAlign w:val="center"/>
          </w:tcPr>
          <w:p w14:paraId="7470CE4C">
            <w:pPr>
              <w:keepNext w:val="0"/>
              <w:keepLines w:val="0"/>
              <w:widowControl/>
              <w:suppressLineNumbers w:val="0"/>
              <w:jc w:val="left"/>
            </w:pPr>
            <w:r>
              <w:rPr>
                <w:rFonts w:ascii="SimSun" w:hAnsi="SimSun" w:eastAsia="SimSun" w:cs="SimSun"/>
                <w:color w:val="auto"/>
                <w:kern w:val="0"/>
                <w:sz w:val="24"/>
                <w:szCs w:val="24"/>
                <w:lang w:val="en-US" w:eastAsia="zh-CN" w:bidi="ar"/>
              </w:rPr>
              <w:t>0.111</w:t>
            </w:r>
          </w:p>
        </w:tc>
        <w:tc>
          <w:tcPr>
            <w:tcW w:w="0" w:type="auto"/>
            <w:shd w:val="clear"/>
            <w:vAlign w:val="center"/>
          </w:tcPr>
          <w:p w14:paraId="325D2681">
            <w:pPr>
              <w:keepNext w:val="0"/>
              <w:keepLines w:val="0"/>
              <w:widowControl/>
              <w:suppressLineNumbers w:val="0"/>
              <w:jc w:val="left"/>
            </w:pPr>
            <w:r>
              <w:rPr>
                <w:rFonts w:ascii="SimSun" w:hAnsi="SimSun" w:eastAsia="SimSun" w:cs="SimSun"/>
                <w:color w:val="auto"/>
                <w:kern w:val="0"/>
                <w:sz w:val="24"/>
                <w:szCs w:val="24"/>
                <w:lang w:val="en-US" w:eastAsia="zh-CN" w:bidi="ar"/>
              </w:rPr>
              <w:t>0.042</w:t>
            </w:r>
          </w:p>
        </w:tc>
        <w:tc>
          <w:tcPr>
            <w:tcW w:w="0" w:type="auto"/>
            <w:shd w:val="clear"/>
            <w:vAlign w:val="center"/>
          </w:tcPr>
          <w:p w14:paraId="6A7C2AF1">
            <w:pPr>
              <w:keepNext w:val="0"/>
              <w:keepLines w:val="0"/>
              <w:widowControl/>
              <w:suppressLineNumbers w:val="0"/>
              <w:jc w:val="left"/>
            </w:pPr>
            <w:r>
              <w:rPr>
                <w:rFonts w:ascii="SimSun" w:hAnsi="SimSun" w:eastAsia="SimSun" w:cs="SimSun"/>
                <w:color w:val="auto"/>
                <w:kern w:val="0"/>
                <w:sz w:val="24"/>
                <w:szCs w:val="24"/>
                <w:lang w:val="en-US" w:eastAsia="zh-CN" w:bidi="ar"/>
              </w:rPr>
              <w:t>2.658</w:t>
            </w:r>
          </w:p>
        </w:tc>
        <w:tc>
          <w:tcPr>
            <w:tcW w:w="0" w:type="auto"/>
            <w:shd w:val="clear"/>
            <w:vAlign w:val="center"/>
          </w:tcPr>
          <w:p w14:paraId="4A44BBC6">
            <w:pPr>
              <w:keepNext w:val="0"/>
              <w:keepLines w:val="0"/>
              <w:widowControl/>
              <w:suppressLineNumbers w:val="0"/>
              <w:jc w:val="left"/>
            </w:pPr>
            <w:r>
              <w:rPr>
                <w:rFonts w:ascii="SimSun" w:hAnsi="SimSun" w:eastAsia="SimSun" w:cs="SimSun"/>
                <w:color w:val="auto"/>
                <w:kern w:val="0"/>
                <w:sz w:val="24"/>
                <w:szCs w:val="24"/>
                <w:lang w:val="en-US" w:eastAsia="zh-CN" w:bidi="ar"/>
              </w:rPr>
              <w:t>.008</w:t>
            </w:r>
          </w:p>
        </w:tc>
        <w:tc>
          <w:tcPr>
            <w:tcW w:w="0" w:type="auto"/>
            <w:shd w:val="clear"/>
            <w:vAlign w:val="center"/>
          </w:tcPr>
          <w:p w14:paraId="3A9237BA">
            <w:pPr>
              <w:keepNext w:val="0"/>
              <w:keepLines w:val="0"/>
              <w:widowControl/>
              <w:suppressLineNumbers w:val="0"/>
              <w:jc w:val="left"/>
            </w:pPr>
            <w:r>
              <w:rPr>
                <w:rFonts w:ascii="SimSun" w:hAnsi="SimSun" w:eastAsia="SimSun" w:cs="SimSun"/>
                <w:color w:val="auto"/>
                <w:kern w:val="0"/>
                <w:sz w:val="24"/>
                <w:szCs w:val="24"/>
                <w:lang w:val="en-US" w:eastAsia="zh-CN" w:bidi="ar"/>
              </w:rPr>
              <w:t>[0.031, 0.196]</w:t>
            </w:r>
          </w:p>
        </w:tc>
        <w:tc>
          <w:tcPr>
            <w:tcW w:w="0" w:type="auto"/>
            <w:shd w:val="clear"/>
            <w:vAlign w:val="center"/>
          </w:tcPr>
          <w:p w14:paraId="3DD06A37">
            <w:pPr>
              <w:keepNext w:val="0"/>
              <w:keepLines w:val="0"/>
              <w:widowControl/>
              <w:suppressLineNumbers w:val="0"/>
              <w:jc w:val="left"/>
            </w:pPr>
            <w:r>
              <w:rPr>
                <w:rFonts w:ascii="SimSun" w:hAnsi="SimSun" w:eastAsia="SimSun" w:cs="SimSun"/>
                <w:color w:val="auto"/>
                <w:kern w:val="0"/>
                <w:sz w:val="24"/>
                <w:szCs w:val="24"/>
                <w:lang w:val="en-US" w:eastAsia="zh-CN" w:bidi="ar"/>
              </w:rPr>
              <w:t>Supported</w:t>
            </w:r>
          </w:p>
        </w:tc>
      </w:tr>
      <w:tr w14:paraId="59AD8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44F62D">
            <w:pPr>
              <w:keepNext w:val="0"/>
              <w:keepLines w:val="0"/>
              <w:widowControl/>
              <w:suppressLineNumbers w:val="0"/>
              <w:jc w:val="left"/>
            </w:pPr>
            <w:r>
              <w:rPr>
                <w:rFonts w:ascii="SimSun" w:hAnsi="SimSun" w:eastAsia="SimSun" w:cs="SimSun"/>
                <w:color w:val="auto"/>
                <w:kern w:val="0"/>
                <w:sz w:val="24"/>
                <w:szCs w:val="24"/>
                <w:lang w:val="en-US" w:eastAsia="zh-CN" w:bidi="ar"/>
              </w:rPr>
              <w:t>H4</w:t>
            </w:r>
          </w:p>
        </w:tc>
        <w:tc>
          <w:tcPr>
            <w:tcW w:w="0" w:type="auto"/>
            <w:shd w:val="clear"/>
            <w:vAlign w:val="center"/>
          </w:tcPr>
          <w:p w14:paraId="0566B310">
            <w:pPr>
              <w:keepNext w:val="0"/>
              <w:keepLines w:val="0"/>
              <w:widowControl/>
              <w:suppressLineNumbers w:val="0"/>
              <w:jc w:val="left"/>
            </w:pPr>
            <w:r>
              <w:rPr>
                <w:rFonts w:ascii="SimSun" w:hAnsi="SimSun" w:eastAsia="SimSun" w:cs="SimSun"/>
                <w:color w:val="auto"/>
                <w:kern w:val="0"/>
                <w:sz w:val="24"/>
                <w:szCs w:val="24"/>
                <w:lang w:val="en-US" w:eastAsia="zh-CN" w:bidi="ar"/>
              </w:rPr>
              <w:t>FL → FFO</w:t>
            </w:r>
          </w:p>
        </w:tc>
        <w:tc>
          <w:tcPr>
            <w:tcW w:w="0" w:type="auto"/>
            <w:shd w:val="clear"/>
            <w:vAlign w:val="center"/>
          </w:tcPr>
          <w:p w14:paraId="1300569B">
            <w:pPr>
              <w:keepNext w:val="0"/>
              <w:keepLines w:val="0"/>
              <w:widowControl/>
              <w:suppressLineNumbers w:val="0"/>
              <w:jc w:val="left"/>
            </w:pPr>
            <w:r>
              <w:rPr>
                <w:rFonts w:ascii="SimSun" w:hAnsi="SimSun" w:eastAsia="SimSun" w:cs="SimSun"/>
                <w:color w:val="auto"/>
                <w:kern w:val="0"/>
                <w:sz w:val="24"/>
                <w:szCs w:val="24"/>
                <w:lang w:val="en-US" w:eastAsia="zh-CN" w:bidi="ar"/>
              </w:rPr>
              <w:t>Positive (+)</w:t>
            </w:r>
          </w:p>
        </w:tc>
        <w:tc>
          <w:tcPr>
            <w:tcW w:w="0" w:type="auto"/>
            <w:shd w:val="clear"/>
            <w:vAlign w:val="center"/>
          </w:tcPr>
          <w:p w14:paraId="7F5D2DC2">
            <w:pPr>
              <w:keepNext w:val="0"/>
              <w:keepLines w:val="0"/>
              <w:widowControl/>
              <w:suppressLineNumbers w:val="0"/>
              <w:jc w:val="left"/>
            </w:pPr>
            <w:r>
              <w:rPr>
                <w:rFonts w:ascii="SimSun" w:hAnsi="SimSun" w:eastAsia="SimSun" w:cs="SimSun"/>
                <w:color w:val="auto"/>
                <w:kern w:val="0"/>
                <w:sz w:val="24"/>
                <w:szCs w:val="24"/>
                <w:lang w:val="en-US" w:eastAsia="zh-CN" w:bidi="ar"/>
              </w:rPr>
              <w:t>0.046</w:t>
            </w:r>
          </w:p>
        </w:tc>
        <w:tc>
          <w:tcPr>
            <w:tcW w:w="0" w:type="auto"/>
            <w:shd w:val="clear"/>
            <w:vAlign w:val="center"/>
          </w:tcPr>
          <w:p w14:paraId="0ED887B0">
            <w:pPr>
              <w:keepNext w:val="0"/>
              <w:keepLines w:val="0"/>
              <w:widowControl/>
              <w:suppressLineNumbers w:val="0"/>
              <w:jc w:val="left"/>
            </w:pPr>
            <w:r>
              <w:rPr>
                <w:rFonts w:ascii="SimSun" w:hAnsi="SimSun" w:eastAsia="SimSun" w:cs="SimSun"/>
                <w:color w:val="auto"/>
                <w:kern w:val="0"/>
                <w:sz w:val="24"/>
                <w:szCs w:val="24"/>
                <w:lang w:val="en-US" w:eastAsia="zh-CN" w:bidi="ar"/>
              </w:rPr>
              <w:t>0.033</w:t>
            </w:r>
          </w:p>
        </w:tc>
        <w:tc>
          <w:tcPr>
            <w:tcW w:w="0" w:type="auto"/>
            <w:shd w:val="clear"/>
            <w:vAlign w:val="center"/>
          </w:tcPr>
          <w:p w14:paraId="73C537E0">
            <w:pPr>
              <w:keepNext w:val="0"/>
              <w:keepLines w:val="0"/>
              <w:widowControl/>
              <w:suppressLineNumbers w:val="0"/>
              <w:jc w:val="left"/>
            </w:pPr>
            <w:r>
              <w:rPr>
                <w:rFonts w:ascii="SimSun" w:hAnsi="SimSun" w:eastAsia="SimSun" w:cs="SimSun"/>
                <w:color w:val="auto"/>
                <w:kern w:val="0"/>
                <w:sz w:val="24"/>
                <w:szCs w:val="24"/>
                <w:lang w:val="en-US" w:eastAsia="zh-CN" w:bidi="ar"/>
              </w:rPr>
              <w:t>1.400</w:t>
            </w:r>
          </w:p>
        </w:tc>
        <w:tc>
          <w:tcPr>
            <w:tcW w:w="0" w:type="auto"/>
            <w:shd w:val="clear"/>
            <w:vAlign w:val="center"/>
          </w:tcPr>
          <w:p w14:paraId="5822E067">
            <w:pPr>
              <w:keepNext w:val="0"/>
              <w:keepLines w:val="0"/>
              <w:widowControl/>
              <w:suppressLineNumbers w:val="0"/>
              <w:jc w:val="left"/>
            </w:pPr>
            <w:r>
              <w:rPr>
                <w:rFonts w:ascii="SimSun" w:hAnsi="SimSun" w:eastAsia="SimSun" w:cs="SimSun"/>
                <w:color w:val="auto"/>
                <w:kern w:val="0"/>
                <w:sz w:val="24"/>
                <w:szCs w:val="24"/>
                <w:lang w:val="en-US" w:eastAsia="zh-CN" w:bidi="ar"/>
              </w:rPr>
              <w:t>.162</w:t>
            </w:r>
          </w:p>
        </w:tc>
        <w:tc>
          <w:tcPr>
            <w:tcW w:w="0" w:type="auto"/>
            <w:shd w:val="clear"/>
            <w:vAlign w:val="center"/>
          </w:tcPr>
          <w:p w14:paraId="39688426">
            <w:pPr>
              <w:keepNext w:val="0"/>
              <w:keepLines w:val="0"/>
              <w:widowControl/>
              <w:suppressLineNumbers w:val="0"/>
              <w:jc w:val="left"/>
            </w:pPr>
            <w:r>
              <w:rPr>
                <w:rFonts w:ascii="SimSun" w:hAnsi="SimSun" w:eastAsia="SimSun" w:cs="SimSun"/>
                <w:color w:val="auto"/>
                <w:kern w:val="0"/>
                <w:sz w:val="24"/>
                <w:szCs w:val="24"/>
                <w:lang w:val="en-US" w:eastAsia="zh-CN" w:bidi="ar"/>
              </w:rPr>
              <w:t>[−0.020, 0.109]</w:t>
            </w:r>
          </w:p>
        </w:tc>
        <w:tc>
          <w:tcPr>
            <w:tcW w:w="0" w:type="auto"/>
            <w:shd w:val="clear"/>
            <w:vAlign w:val="center"/>
          </w:tcPr>
          <w:p w14:paraId="68E6F711">
            <w:pPr>
              <w:keepNext w:val="0"/>
              <w:keepLines w:val="0"/>
              <w:widowControl/>
              <w:suppressLineNumbers w:val="0"/>
              <w:jc w:val="left"/>
            </w:pPr>
            <w:r>
              <w:rPr>
                <w:rFonts w:ascii="SimSun" w:hAnsi="SimSun" w:eastAsia="SimSun" w:cs="SimSun"/>
                <w:color w:val="auto"/>
                <w:kern w:val="0"/>
                <w:sz w:val="24"/>
                <w:szCs w:val="24"/>
                <w:lang w:val="en-US" w:eastAsia="zh-CN" w:bidi="ar"/>
              </w:rPr>
              <w:t>Not supported</w:t>
            </w:r>
          </w:p>
        </w:tc>
      </w:tr>
      <w:tr w14:paraId="512D1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426CBE">
            <w:pPr>
              <w:keepNext w:val="0"/>
              <w:keepLines w:val="0"/>
              <w:widowControl/>
              <w:suppressLineNumbers w:val="0"/>
              <w:jc w:val="left"/>
            </w:pPr>
            <w:r>
              <w:rPr>
                <w:rFonts w:ascii="SimSun" w:hAnsi="SimSun" w:eastAsia="SimSun" w:cs="SimSun"/>
                <w:color w:val="auto"/>
                <w:kern w:val="0"/>
                <w:sz w:val="24"/>
                <w:szCs w:val="24"/>
                <w:lang w:val="en-US" w:eastAsia="zh-CN" w:bidi="ar"/>
              </w:rPr>
              <w:t>H5</w:t>
            </w:r>
          </w:p>
        </w:tc>
        <w:tc>
          <w:tcPr>
            <w:tcW w:w="0" w:type="auto"/>
            <w:shd w:val="clear"/>
            <w:vAlign w:val="center"/>
          </w:tcPr>
          <w:p w14:paraId="2300EF90">
            <w:pPr>
              <w:keepNext w:val="0"/>
              <w:keepLines w:val="0"/>
              <w:widowControl/>
              <w:suppressLineNumbers w:val="0"/>
              <w:jc w:val="left"/>
            </w:pPr>
            <w:r>
              <w:rPr>
                <w:rFonts w:ascii="SimSun" w:hAnsi="SimSun" w:eastAsia="SimSun" w:cs="SimSun"/>
                <w:color w:val="auto"/>
                <w:kern w:val="0"/>
                <w:sz w:val="24"/>
                <w:szCs w:val="24"/>
                <w:lang w:val="en-US" w:eastAsia="zh-CN" w:bidi="ar"/>
              </w:rPr>
              <w:t>FMB → FFO</w:t>
            </w:r>
          </w:p>
        </w:tc>
        <w:tc>
          <w:tcPr>
            <w:tcW w:w="0" w:type="auto"/>
            <w:shd w:val="clear"/>
            <w:vAlign w:val="center"/>
          </w:tcPr>
          <w:p w14:paraId="47609FFE">
            <w:pPr>
              <w:keepNext w:val="0"/>
              <w:keepLines w:val="0"/>
              <w:widowControl/>
              <w:suppressLineNumbers w:val="0"/>
              <w:jc w:val="left"/>
            </w:pPr>
            <w:r>
              <w:rPr>
                <w:rFonts w:ascii="SimSun" w:hAnsi="SimSun" w:eastAsia="SimSun" w:cs="SimSun"/>
                <w:color w:val="auto"/>
                <w:kern w:val="0"/>
                <w:sz w:val="24"/>
                <w:szCs w:val="24"/>
                <w:lang w:val="en-US" w:eastAsia="zh-CN" w:bidi="ar"/>
              </w:rPr>
              <w:t>Positive (+)</w:t>
            </w:r>
          </w:p>
        </w:tc>
        <w:tc>
          <w:tcPr>
            <w:tcW w:w="0" w:type="auto"/>
            <w:shd w:val="clear"/>
            <w:vAlign w:val="center"/>
          </w:tcPr>
          <w:p w14:paraId="07DF09AD">
            <w:pPr>
              <w:keepNext w:val="0"/>
              <w:keepLines w:val="0"/>
              <w:widowControl/>
              <w:suppressLineNumbers w:val="0"/>
              <w:jc w:val="left"/>
            </w:pPr>
            <w:r>
              <w:rPr>
                <w:rFonts w:ascii="SimSun" w:hAnsi="SimSun" w:eastAsia="SimSun" w:cs="SimSun"/>
                <w:color w:val="auto"/>
                <w:kern w:val="0"/>
                <w:sz w:val="24"/>
                <w:szCs w:val="24"/>
                <w:lang w:val="en-US" w:eastAsia="zh-CN" w:bidi="ar"/>
              </w:rPr>
              <w:t>0.568</w:t>
            </w:r>
          </w:p>
        </w:tc>
        <w:tc>
          <w:tcPr>
            <w:tcW w:w="0" w:type="auto"/>
            <w:shd w:val="clear"/>
            <w:vAlign w:val="center"/>
          </w:tcPr>
          <w:p w14:paraId="0C95ADB1">
            <w:pPr>
              <w:keepNext w:val="0"/>
              <w:keepLines w:val="0"/>
              <w:widowControl/>
              <w:suppressLineNumbers w:val="0"/>
              <w:jc w:val="left"/>
            </w:pPr>
            <w:r>
              <w:rPr>
                <w:rFonts w:ascii="SimSun" w:hAnsi="SimSun" w:eastAsia="SimSun" w:cs="SimSun"/>
                <w:color w:val="auto"/>
                <w:kern w:val="0"/>
                <w:sz w:val="24"/>
                <w:szCs w:val="24"/>
                <w:lang w:val="en-US" w:eastAsia="zh-CN" w:bidi="ar"/>
              </w:rPr>
              <w:t>0.030</w:t>
            </w:r>
          </w:p>
        </w:tc>
        <w:tc>
          <w:tcPr>
            <w:tcW w:w="0" w:type="auto"/>
            <w:shd w:val="clear"/>
            <w:vAlign w:val="center"/>
          </w:tcPr>
          <w:p w14:paraId="6242FB10">
            <w:pPr>
              <w:keepNext w:val="0"/>
              <w:keepLines w:val="0"/>
              <w:widowControl/>
              <w:suppressLineNumbers w:val="0"/>
              <w:jc w:val="left"/>
            </w:pPr>
            <w:r>
              <w:rPr>
                <w:rFonts w:ascii="SimSun" w:hAnsi="SimSun" w:eastAsia="SimSun" w:cs="SimSun"/>
                <w:color w:val="auto"/>
                <w:kern w:val="0"/>
                <w:sz w:val="24"/>
                <w:szCs w:val="24"/>
                <w:lang w:val="en-US" w:eastAsia="zh-CN" w:bidi="ar"/>
              </w:rPr>
              <w:t>18.876</w:t>
            </w:r>
          </w:p>
        </w:tc>
        <w:tc>
          <w:tcPr>
            <w:tcW w:w="0" w:type="auto"/>
            <w:shd w:val="clear"/>
            <w:vAlign w:val="center"/>
          </w:tcPr>
          <w:p w14:paraId="74E8EAD7">
            <w:pPr>
              <w:keepNext w:val="0"/>
              <w:keepLines w:val="0"/>
              <w:widowControl/>
              <w:suppressLineNumbers w:val="0"/>
              <w:jc w:val="left"/>
            </w:pPr>
            <w:r>
              <w:rPr>
                <w:rFonts w:ascii="SimSun" w:hAnsi="SimSun" w:eastAsia="SimSun" w:cs="SimSun"/>
                <w:color w:val="auto"/>
                <w:kern w:val="0"/>
                <w:sz w:val="24"/>
                <w:szCs w:val="24"/>
                <w:lang w:val="en-US" w:eastAsia="zh-CN" w:bidi="ar"/>
              </w:rPr>
              <w:t>&lt; .001</w:t>
            </w:r>
          </w:p>
        </w:tc>
        <w:tc>
          <w:tcPr>
            <w:tcW w:w="0" w:type="auto"/>
            <w:shd w:val="clear"/>
            <w:vAlign w:val="center"/>
          </w:tcPr>
          <w:p w14:paraId="0ED9CCD8">
            <w:pPr>
              <w:keepNext w:val="0"/>
              <w:keepLines w:val="0"/>
              <w:widowControl/>
              <w:suppressLineNumbers w:val="0"/>
              <w:jc w:val="left"/>
            </w:pPr>
            <w:r>
              <w:rPr>
                <w:rFonts w:ascii="SimSun" w:hAnsi="SimSun" w:eastAsia="SimSun" w:cs="SimSun"/>
                <w:color w:val="auto"/>
                <w:kern w:val="0"/>
                <w:sz w:val="24"/>
                <w:szCs w:val="24"/>
                <w:lang w:val="en-US" w:eastAsia="zh-CN" w:bidi="ar"/>
              </w:rPr>
              <w:t>[0.504, 0.621]</w:t>
            </w:r>
          </w:p>
        </w:tc>
        <w:tc>
          <w:tcPr>
            <w:tcW w:w="0" w:type="auto"/>
            <w:shd w:val="clear"/>
            <w:vAlign w:val="center"/>
          </w:tcPr>
          <w:p w14:paraId="096944BB">
            <w:pPr>
              <w:keepNext w:val="0"/>
              <w:keepLines w:val="0"/>
              <w:widowControl/>
              <w:suppressLineNumbers w:val="0"/>
              <w:jc w:val="left"/>
            </w:pPr>
            <w:r>
              <w:rPr>
                <w:rFonts w:ascii="SimSun" w:hAnsi="SimSun" w:eastAsia="SimSun" w:cs="SimSun"/>
                <w:color w:val="auto"/>
                <w:kern w:val="0"/>
                <w:sz w:val="24"/>
                <w:szCs w:val="24"/>
                <w:lang w:val="en-US" w:eastAsia="zh-CN" w:bidi="ar"/>
              </w:rPr>
              <w:t>Supported</w:t>
            </w:r>
          </w:p>
        </w:tc>
      </w:tr>
      <w:tr w14:paraId="21542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11ECB9">
            <w:pPr>
              <w:keepNext w:val="0"/>
              <w:keepLines w:val="0"/>
              <w:widowControl/>
              <w:suppressLineNumbers w:val="0"/>
              <w:jc w:val="left"/>
            </w:pPr>
            <w:r>
              <w:rPr>
                <w:rFonts w:ascii="SimSun" w:hAnsi="SimSun" w:eastAsia="SimSun" w:cs="SimSun"/>
                <w:color w:val="auto"/>
                <w:kern w:val="0"/>
                <w:sz w:val="24"/>
                <w:szCs w:val="24"/>
                <w:lang w:val="en-US" w:eastAsia="zh-CN" w:bidi="ar"/>
              </w:rPr>
              <w:t>H6</w:t>
            </w:r>
          </w:p>
        </w:tc>
        <w:tc>
          <w:tcPr>
            <w:tcW w:w="0" w:type="auto"/>
            <w:shd w:val="clear"/>
            <w:vAlign w:val="center"/>
          </w:tcPr>
          <w:p w14:paraId="33D21DBC">
            <w:pPr>
              <w:keepNext w:val="0"/>
              <w:keepLines w:val="0"/>
              <w:widowControl/>
              <w:suppressLineNumbers w:val="0"/>
              <w:jc w:val="left"/>
            </w:pPr>
            <w:r>
              <w:rPr>
                <w:rFonts w:ascii="SimSun" w:hAnsi="SimSun" w:eastAsia="SimSun" w:cs="SimSun"/>
                <w:color w:val="auto"/>
                <w:kern w:val="0"/>
                <w:sz w:val="24"/>
                <w:szCs w:val="24"/>
                <w:lang w:val="en-US" w:eastAsia="zh-CN" w:bidi="ar"/>
              </w:rPr>
              <w:t>ISB → FFO</w:t>
            </w:r>
          </w:p>
        </w:tc>
        <w:tc>
          <w:tcPr>
            <w:tcW w:w="0" w:type="auto"/>
            <w:shd w:val="clear"/>
            <w:vAlign w:val="center"/>
          </w:tcPr>
          <w:p w14:paraId="2B1A6330">
            <w:pPr>
              <w:keepNext w:val="0"/>
              <w:keepLines w:val="0"/>
              <w:widowControl/>
              <w:suppressLineNumbers w:val="0"/>
              <w:jc w:val="left"/>
            </w:pPr>
            <w:r>
              <w:rPr>
                <w:rFonts w:ascii="SimSun" w:hAnsi="SimSun" w:eastAsia="SimSun" w:cs="SimSun"/>
                <w:color w:val="auto"/>
                <w:kern w:val="0"/>
                <w:sz w:val="24"/>
                <w:szCs w:val="24"/>
                <w:lang w:val="en-US" w:eastAsia="zh-CN" w:bidi="ar"/>
              </w:rPr>
              <w:t>Negative (−)</w:t>
            </w:r>
          </w:p>
        </w:tc>
        <w:tc>
          <w:tcPr>
            <w:tcW w:w="0" w:type="auto"/>
            <w:shd w:val="clear"/>
            <w:vAlign w:val="center"/>
          </w:tcPr>
          <w:p w14:paraId="7F7CB389">
            <w:pPr>
              <w:keepNext w:val="0"/>
              <w:keepLines w:val="0"/>
              <w:widowControl/>
              <w:suppressLineNumbers w:val="0"/>
              <w:jc w:val="left"/>
            </w:pPr>
            <w:r>
              <w:rPr>
                <w:rFonts w:ascii="SimSun" w:hAnsi="SimSun" w:eastAsia="SimSun" w:cs="SimSun"/>
                <w:color w:val="auto"/>
                <w:kern w:val="0"/>
                <w:sz w:val="24"/>
                <w:szCs w:val="24"/>
                <w:lang w:val="en-US" w:eastAsia="zh-CN" w:bidi="ar"/>
              </w:rPr>
              <w:t>−0.167</w:t>
            </w:r>
          </w:p>
        </w:tc>
        <w:tc>
          <w:tcPr>
            <w:tcW w:w="0" w:type="auto"/>
            <w:shd w:val="clear"/>
            <w:vAlign w:val="center"/>
          </w:tcPr>
          <w:p w14:paraId="206D1A63">
            <w:pPr>
              <w:keepNext w:val="0"/>
              <w:keepLines w:val="0"/>
              <w:widowControl/>
              <w:suppressLineNumbers w:val="0"/>
              <w:jc w:val="left"/>
            </w:pPr>
            <w:r>
              <w:rPr>
                <w:rFonts w:ascii="SimSun" w:hAnsi="SimSun" w:eastAsia="SimSun" w:cs="SimSun"/>
                <w:color w:val="auto"/>
                <w:kern w:val="0"/>
                <w:sz w:val="24"/>
                <w:szCs w:val="24"/>
                <w:lang w:val="en-US" w:eastAsia="zh-CN" w:bidi="ar"/>
              </w:rPr>
              <w:t>0.035</w:t>
            </w:r>
          </w:p>
        </w:tc>
        <w:tc>
          <w:tcPr>
            <w:tcW w:w="0" w:type="auto"/>
            <w:shd w:val="clear"/>
            <w:vAlign w:val="center"/>
          </w:tcPr>
          <w:p w14:paraId="35D217E6">
            <w:pPr>
              <w:keepNext w:val="0"/>
              <w:keepLines w:val="0"/>
              <w:widowControl/>
              <w:suppressLineNumbers w:val="0"/>
              <w:jc w:val="left"/>
            </w:pPr>
            <w:r>
              <w:rPr>
                <w:rFonts w:ascii="SimSun" w:hAnsi="SimSun" w:eastAsia="SimSun" w:cs="SimSun"/>
                <w:color w:val="auto"/>
                <w:kern w:val="0"/>
                <w:sz w:val="24"/>
                <w:szCs w:val="24"/>
                <w:lang w:val="en-US" w:eastAsia="zh-CN" w:bidi="ar"/>
              </w:rPr>
              <w:t>4.839</w:t>
            </w:r>
          </w:p>
        </w:tc>
        <w:tc>
          <w:tcPr>
            <w:tcW w:w="0" w:type="auto"/>
            <w:shd w:val="clear"/>
            <w:vAlign w:val="center"/>
          </w:tcPr>
          <w:p w14:paraId="46CA0E55">
            <w:pPr>
              <w:keepNext w:val="0"/>
              <w:keepLines w:val="0"/>
              <w:widowControl/>
              <w:suppressLineNumbers w:val="0"/>
              <w:jc w:val="left"/>
            </w:pPr>
            <w:r>
              <w:rPr>
                <w:rFonts w:ascii="SimSun" w:hAnsi="SimSun" w:eastAsia="SimSun" w:cs="SimSun"/>
                <w:color w:val="auto"/>
                <w:kern w:val="0"/>
                <w:sz w:val="24"/>
                <w:szCs w:val="24"/>
                <w:lang w:val="en-US" w:eastAsia="zh-CN" w:bidi="ar"/>
              </w:rPr>
              <w:t>&lt; .001</w:t>
            </w:r>
          </w:p>
        </w:tc>
        <w:tc>
          <w:tcPr>
            <w:tcW w:w="0" w:type="auto"/>
            <w:shd w:val="clear"/>
            <w:vAlign w:val="center"/>
          </w:tcPr>
          <w:p w14:paraId="57FAFCB2">
            <w:pPr>
              <w:keepNext w:val="0"/>
              <w:keepLines w:val="0"/>
              <w:widowControl/>
              <w:suppressLineNumbers w:val="0"/>
              <w:jc w:val="left"/>
            </w:pPr>
            <w:r>
              <w:rPr>
                <w:rFonts w:ascii="SimSun" w:hAnsi="SimSun" w:eastAsia="SimSun" w:cs="SimSun"/>
                <w:color w:val="auto"/>
                <w:kern w:val="0"/>
                <w:sz w:val="24"/>
                <w:szCs w:val="24"/>
                <w:lang w:val="en-US" w:eastAsia="zh-CN" w:bidi="ar"/>
              </w:rPr>
              <w:t>[−0.236, −0.101]</w:t>
            </w:r>
          </w:p>
        </w:tc>
        <w:tc>
          <w:tcPr>
            <w:tcW w:w="0" w:type="auto"/>
            <w:shd w:val="clear"/>
            <w:vAlign w:val="center"/>
          </w:tcPr>
          <w:p w14:paraId="5D02FA7E">
            <w:pPr>
              <w:keepNext w:val="0"/>
              <w:keepLines w:val="0"/>
              <w:widowControl/>
              <w:suppressLineNumbers w:val="0"/>
              <w:jc w:val="left"/>
            </w:pPr>
            <w:r>
              <w:rPr>
                <w:rFonts w:ascii="SimSun" w:hAnsi="SimSun" w:eastAsia="SimSun" w:cs="SimSun"/>
                <w:color w:val="auto"/>
                <w:kern w:val="0"/>
                <w:sz w:val="24"/>
                <w:szCs w:val="24"/>
                <w:lang w:val="en-US" w:eastAsia="zh-CN" w:bidi="ar"/>
              </w:rPr>
              <w:t>Supported</w:t>
            </w:r>
          </w:p>
        </w:tc>
      </w:tr>
      <w:tr w14:paraId="1A72C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EE7D90">
            <w:pPr>
              <w:keepNext w:val="0"/>
              <w:keepLines w:val="0"/>
              <w:widowControl/>
              <w:suppressLineNumbers w:val="0"/>
              <w:jc w:val="left"/>
            </w:pPr>
            <w:r>
              <w:rPr>
                <w:rFonts w:ascii="SimSun" w:hAnsi="SimSun" w:eastAsia="SimSun" w:cs="SimSun"/>
                <w:color w:val="auto"/>
                <w:kern w:val="0"/>
                <w:sz w:val="24"/>
                <w:szCs w:val="24"/>
                <w:lang w:val="en-US" w:eastAsia="zh-CN" w:bidi="ar"/>
              </w:rPr>
              <w:t>H7</w:t>
            </w:r>
          </w:p>
        </w:tc>
        <w:tc>
          <w:tcPr>
            <w:tcW w:w="0" w:type="auto"/>
            <w:shd w:val="clear"/>
            <w:vAlign w:val="center"/>
          </w:tcPr>
          <w:p w14:paraId="226267A5">
            <w:pPr>
              <w:keepNext w:val="0"/>
              <w:keepLines w:val="0"/>
              <w:widowControl/>
              <w:suppressLineNumbers w:val="0"/>
              <w:jc w:val="left"/>
            </w:pPr>
            <w:r>
              <w:rPr>
                <w:rFonts w:ascii="SimSun" w:hAnsi="SimSun" w:eastAsia="SimSun" w:cs="SimSun"/>
                <w:color w:val="auto"/>
                <w:kern w:val="0"/>
                <w:sz w:val="24"/>
                <w:szCs w:val="24"/>
                <w:lang w:val="en-US" w:eastAsia="zh-CN" w:bidi="ar"/>
              </w:rPr>
              <w:t>SI → ISB</w:t>
            </w:r>
          </w:p>
        </w:tc>
        <w:tc>
          <w:tcPr>
            <w:tcW w:w="0" w:type="auto"/>
            <w:shd w:val="clear"/>
            <w:vAlign w:val="center"/>
          </w:tcPr>
          <w:p w14:paraId="07FFD1E1">
            <w:pPr>
              <w:keepNext w:val="0"/>
              <w:keepLines w:val="0"/>
              <w:widowControl/>
              <w:suppressLineNumbers w:val="0"/>
              <w:jc w:val="left"/>
            </w:pPr>
            <w:r>
              <w:rPr>
                <w:rFonts w:ascii="SimSun" w:hAnsi="SimSun" w:eastAsia="SimSun" w:cs="SimSun"/>
                <w:color w:val="auto"/>
                <w:kern w:val="0"/>
                <w:sz w:val="24"/>
                <w:szCs w:val="24"/>
                <w:lang w:val="en-US" w:eastAsia="zh-CN" w:bidi="ar"/>
              </w:rPr>
              <w:t>Positive (+)</w:t>
            </w:r>
          </w:p>
        </w:tc>
        <w:tc>
          <w:tcPr>
            <w:tcW w:w="0" w:type="auto"/>
            <w:shd w:val="clear"/>
            <w:vAlign w:val="center"/>
          </w:tcPr>
          <w:p w14:paraId="6BD804F2">
            <w:pPr>
              <w:keepNext w:val="0"/>
              <w:keepLines w:val="0"/>
              <w:widowControl/>
              <w:suppressLineNumbers w:val="0"/>
              <w:jc w:val="left"/>
            </w:pPr>
            <w:r>
              <w:rPr>
                <w:rFonts w:ascii="SimSun" w:hAnsi="SimSun" w:eastAsia="SimSun" w:cs="SimSun"/>
                <w:color w:val="auto"/>
                <w:kern w:val="0"/>
                <w:sz w:val="24"/>
                <w:szCs w:val="24"/>
                <w:lang w:val="en-US" w:eastAsia="zh-CN" w:bidi="ar"/>
              </w:rPr>
              <w:t>0.439</w:t>
            </w:r>
          </w:p>
        </w:tc>
        <w:tc>
          <w:tcPr>
            <w:tcW w:w="0" w:type="auto"/>
            <w:shd w:val="clear"/>
            <w:vAlign w:val="center"/>
          </w:tcPr>
          <w:p w14:paraId="5C79F17E">
            <w:pPr>
              <w:keepNext w:val="0"/>
              <w:keepLines w:val="0"/>
              <w:widowControl/>
              <w:suppressLineNumbers w:val="0"/>
              <w:jc w:val="left"/>
            </w:pPr>
            <w:r>
              <w:rPr>
                <w:rFonts w:ascii="SimSun" w:hAnsi="SimSun" w:eastAsia="SimSun" w:cs="SimSun"/>
                <w:color w:val="auto"/>
                <w:kern w:val="0"/>
                <w:sz w:val="24"/>
                <w:szCs w:val="24"/>
                <w:lang w:val="en-US" w:eastAsia="zh-CN" w:bidi="ar"/>
              </w:rPr>
              <w:t>0.037</w:t>
            </w:r>
          </w:p>
        </w:tc>
        <w:tc>
          <w:tcPr>
            <w:tcW w:w="0" w:type="auto"/>
            <w:shd w:val="clear"/>
            <w:vAlign w:val="center"/>
          </w:tcPr>
          <w:p w14:paraId="1D4AFEBE">
            <w:pPr>
              <w:keepNext w:val="0"/>
              <w:keepLines w:val="0"/>
              <w:widowControl/>
              <w:suppressLineNumbers w:val="0"/>
              <w:jc w:val="left"/>
            </w:pPr>
            <w:r>
              <w:rPr>
                <w:rFonts w:ascii="SimSun" w:hAnsi="SimSun" w:eastAsia="SimSun" w:cs="SimSun"/>
                <w:color w:val="auto"/>
                <w:kern w:val="0"/>
                <w:sz w:val="24"/>
                <w:szCs w:val="24"/>
                <w:lang w:val="en-US" w:eastAsia="zh-CN" w:bidi="ar"/>
              </w:rPr>
              <w:t>11.700</w:t>
            </w:r>
          </w:p>
        </w:tc>
        <w:tc>
          <w:tcPr>
            <w:tcW w:w="0" w:type="auto"/>
            <w:shd w:val="clear"/>
            <w:vAlign w:val="center"/>
          </w:tcPr>
          <w:p w14:paraId="0ACD14FB">
            <w:pPr>
              <w:keepNext w:val="0"/>
              <w:keepLines w:val="0"/>
              <w:widowControl/>
              <w:suppressLineNumbers w:val="0"/>
              <w:jc w:val="left"/>
            </w:pPr>
            <w:r>
              <w:rPr>
                <w:rFonts w:ascii="SimSun" w:hAnsi="SimSun" w:eastAsia="SimSun" w:cs="SimSun"/>
                <w:color w:val="auto"/>
                <w:kern w:val="0"/>
                <w:sz w:val="24"/>
                <w:szCs w:val="24"/>
                <w:lang w:val="en-US" w:eastAsia="zh-CN" w:bidi="ar"/>
              </w:rPr>
              <w:t>&lt; .001</w:t>
            </w:r>
          </w:p>
        </w:tc>
        <w:tc>
          <w:tcPr>
            <w:tcW w:w="0" w:type="auto"/>
            <w:shd w:val="clear"/>
            <w:vAlign w:val="center"/>
          </w:tcPr>
          <w:p w14:paraId="04CC99DC">
            <w:pPr>
              <w:keepNext w:val="0"/>
              <w:keepLines w:val="0"/>
              <w:widowControl/>
              <w:suppressLineNumbers w:val="0"/>
              <w:jc w:val="left"/>
            </w:pPr>
            <w:r>
              <w:rPr>
                <w:rFonts w:ascii="SimSun" w:hAnsi="SimSun" w:eastAsia="SimSun" w:cs="SimSun"/>
                <w:color w:val="auto"/>
                <w:kern w:val="0"/>
                <w:sz w:val="24"/>
                <w:szCs w:val="24"/>
                <w:lang w:val="en-US" w:eastAsia="zh-CN" w:bidi="ar"/>
              </w:rPr>
              <w:t>[0.360, 0.507]</w:t>
            </w:r>
          </w:p>
        </w:tc>
        <w:tc>
          <w:tcPr>
            <w:tcW w:w="0" w:type="auto"/>
            <w:shd w:val="clear"/>
            <w:vAlign w:val="center"/>
          </w:tcPr>
          <w:p w14:paraId="58353A64">
            <w:pPr>
              <w:keepNext w:val="0"/>
              <w:keepLines w:val="0"/>
              <w:widowControl/>
              <w:suppressLineNumbers w:val="0"/>
              <w:jc w:val="left"/>
            </w:pPr>
            <w:r>
              <w:rPr>
                <w:rFonts w:ascii="SimSun" w:hAnsi="SimSun" w:eastAsia="SimSun" w:cs="SimSun"/>
                <w:color w:val="auto"/>
                <w:kern w:val="0"/>
                <w:sz w:val="24"/>
                <w:szCs w:val="24"/>
                <w:lang w:val="en-US" w:eastAsia="zh-CN" w:bidi="ar"/>
              </w:rPr>
              <w:t>Supported</w:t>
            </w:r>
          </w:p>
        </w:tc>
      </w:tr>
    </w:tbl>
    <w:p w14:paraId="398F7C8F">
      <w:pPr>
        <w:pStyle w:val="19"/>
        <w:keepNext w:val="0"/>
        <w:keepLines w:val="0"/>
        <w:widowControl/>
        <w:suppressLineNumbers w:val="0"/>
      </w:pPr>
      <w:r>
        <w:rPr>
          <w:rStyle w:val="11"/>
        </w:rPr>
        <w:t>Note.</w:t>
      </w:r>
      <w:r>
        <w:t xml:space="preserve"> β = standardized path coefficient; SE = bootstrap standard error; CI = confidence interval. Confidence intervals are 95% bias-corrected bootstrap intervals. SmartPLS values displayed as 0.000 are reported as p &lt; .001. A hypothesis is considered supported only when the estimated relationship is statistically significant and consistent with its hypothesized direction.</w:t>
      </w:r>
    </w:p>
    <w:p w14:paraId="65238DD7">
      <w:pPr>
        <w:pStyle w:val="19"/>
        <w:keepNext w:val="0"/>
        <w:keepLines w:val="0"/>
        <w:widowControl/>
        <w:suppressLineNumbers w:val="0"/>
      </w:pPr>
      <w:r>
        <w:t>Six of the seven direct relationships were statistically significant at the 5% level. However, only five hypotheses were supported in their proposed directions. H1 was not supported because DFB was negatively associated with FMB, contrary to the hypothesized positive relationship. H4 was also not supported because the direct association between FL and FFO was nonsignificant, with a confidence interval that included zero.</w:t>
      </w:r>
    </w:p>
    <w:p w14:paraId="4A1A025A">
      <w:pPr>
        <w:pStyle w:val="19"/>
        <w:keepNext w:val="0"/>
        <w:keepLines w:val="0"/>
        <w:widowControl/>
        <w:suppressLineNumbers w:val="0"/>
      </w:pPr>
      <w:r>
        <w:t>DFB was positively associated with ISB (β = 0.292, p &lt; .001), while FL was positively associated with FMB (β = 0.111, p = .008). FMB showed the strongest positive association with FFO (β = 0.568, p &lt; .001). ISB was negatively associated with FFO (β = −0.167, p &lt; .001), and SI was positively associated with ISB (β = 0.439, p &lt; .001). These results support H2, H3, H5, H6, and H7.</w:t>
      </w:r>
    </w:p>
    <w:p w14:paraId="640985CC">
      <w:pPr>
        <w:pStyle w:val="6"/>
        <w:keepNext w:val="0"/>
        <w:keepLines w:val="0"/>
        <w:widowControl/>
        <w:suppressLineNumbers w:val="0"/>
      </w:pPr>
      <w:r>
        <w:t>4.3.1 Explained Variance</w:t>
      </w:r>
    </w:p>
    <w:p w14:paraId="1B269239">
      <w:pPr>
        <w:pStyle w:val="19"/>
        <w:keepNext w:val="0"/>
        <w:keepLines w:val="0"/>
        <w:widowControl/>
        <w:suppressLineNumbers w:val="0"/>
      </w:pPr>
      <w:r>
        <w:t>The explanatory power of the structural model was assessed using R² and adjusted R². Table 6 presents the results for the three endogenous constructs.</w:t>
      </w:r>
    </w:p>
    <w:p w14:paraId="7B55BF0A">
      <w:pPr>
        <w:pStyle w:val="19"/>
        <w:keepNext w:val="0"/>
        <w:keepLines w:val="0"/>
        <w:widowControl/>
        <w:suppressLineNumbers w:val="0"/>
      </w:pPr>
      <w:r>
        <w:rPr>
          <w:rStyle w:val="20"/>
        </w:rPr>
        <w:t>Table 6. Explained Variance in Endogenous Constructs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75"/>
        <w:gridCol w:w="660"/>
        <w:gridCol w:w="1405"/>
      </w:tblGrid>
      <w:tr w14:paraId="4A444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9C5402">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Endogenous construct</w:t>
            </w:r>
          </w:p>
        </w:tc>
        <w:tc>
          <w:tcPr>
            <w:tcW w:w="0" w:type="auto"/>
            <w:shd w:val="clear"/>
            <w:vAlign w:val="center"/>
          </w:tcPr>
          <w:p w14:paraId="725779C0">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R²</w:t>
            </w:r>
          </w:p>
        </w:tc>
        <w:tc>
          <w:tcPr>
            <w:tcW w:w="0" w:type="auto"/>
            <w:shd w:val="clear"/>
            <w:vAlign w:val="center"/>
          </w:tcPr>
          <w:p w14:paraId="58B655FC">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Adjusted R²</w:t>
            </w:r>
          </w:p>
        </w:tc>
      </w:tr>
      <w:tr w14:paraId="05D14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0D06DE">
            <w:pPr>
              <w:keepNext w:val="0"/>
              <w:keepLines w:val="0"/>
              <w:widowControl/>
              <w:suppressLineNumbers w:val="0"/>
              <w:jc w:val="left"/>
            </w:pPr>
            <w:r>
              <w:rPr>
                <w:rFonts w:ascii="SimSun" w:hAnsi="SimSun" w:eastAsia="SimSun" w:cs="SimSun"/>
                <w:color w:val="auto"/>
                <w:kern w:val="0"/>
                <w:sz w:val="24"/>
                <w:szCs w:val="24"/>
                <w:lang w:val="en-US" w:eastAsia="zh-CN" w:bidi="ar"/>
              </w:rPr>
              <w:t>Financial Management Behavior (FMB)</w:t>
            </w:r>
          </w:p>
        </w:tc>
        <w:tc>
          <w:tcPr>
            <w:tcW w:w="0" w:type="auto"/>
            <w:shd w:val="clear"/>
            <w:vAlign w:val="center"/>
          </w:tcPr>
          <w:p w14:paraId="4920238E">
            <w:pPr>
              <w:keepNext w:val="0"/>
              <w:keepLines w:val="0"/>
              <w:widowControl/>
              <w:suppressLineNumbers w:val="0"/>
              <w:jc w:val="left"/>
            </w:pPr>
            <w:r>
              <w:rPr>
                <w:rFonts w:ascii="SimSun" w:hAnsi="SimSun" w:eastAsia="SimSun" w:cs="SimSun"/>
                <w:color w:val="auto"/>
                <w:kern w:val="0"/>
                <w:sz w:val="24"/>
                <w:szCs w:val="24"/>
                <w:lang w:val="en-US" w:eastAsia="zh-CN" w:bidi="ar"/>
              </w:rPr>
              <w:t>0.053</w:t>
            </w:r>
          </w:p>
        </w:tc>
        <w:tc>
          <w:tcPr>
            <w:tcW w:w="0" w:type="auto"/>
            <w:shd w:val="clear"/>
            <w:vAlign w:val="center"/>
          </w:tcPr>
          <w:p w14:paraId="25B2C2B1">
            <w:pPr>
              <w:keepNext w:val="0"/>
              <w:keepLines w:val="0"/>
              <w:widowControl/>
              <w:suppressLineNumbers w:val="0"/>
              <w:jc w:val="left"/>
            </w:pPr>
            <w:r>
              <w:rPr>
                <w:rFonts w:ascii="SimSun" w:hAnsi="SimSun" w:eastAsia="SimSun" w:cs="SimSun"/>
                <w:color w:val="auto"/>
                <w:kern w:val="0"/>
                <w:sz w:val="24"/>
                <w:szCs w:val="24"/>
                <w:lang w:val="en-US" w:eastAsia="zh-CN" w:bidi="ar"/>
              </w:rPr>
              <w:t>0.050</w:t>
            </w:r>
          </w:p>
        </w:tc>
      </w:tr>
      <w:tr w14:paraId="0E15E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A30AA3">
            <w:pPr>
              <w:keepNext w:val="0"/>
              <w:keepLines w:val="0"/>
              <w:widowControl/>
              <w:suppressLineNumbers w:val="0"/>
              <w:jc w:val="left"/>
            </w:pPr>
            <w:r>
              <w:rPr>
                <w:rFonts w:ascii="SimSun" w:hAnsi="SimSun" w:eastAsia="SimSun" w:cs="SimSun"/>
                <w:color w:val="auto"/>
                <w:kern w:val="0"/>
                <w:sz w:val="24"/>
                <w:szCs w:val="24"/>
                <w:lang w:val="en-US" w:eastAsia="zh-CN" w:bidi="ar"/>
              </w:rPr>
              <w:t>Impulsive Spending Behavior (ISB)</w:t>
            </w:r>
          </w:p>
        </w:tc>
        <w:tc>
          <w:tcPr>
            <w:tcW w:w="0" w:type="auto"/>
            <w:shd w:val="clear"/>
            <w:vAlign w:val="center"/>
          </w:tcPr>
          <w:p w14:paraId="5E0F2AB1">
            <w:pPr>
              <w:keepNext w:val="0"/>
              <w:keepLines w:val="0"/>
              <w:widowControl/>
              <w:suppressLineNumbers w:val="0"/>
              <w:jc w:val="left"/>
            </w:pPr>
            <w:r>
              <w:rPr>
                <w:rFonts w:ascii="SimSun" w:hAnsi="SimSun" w:eastAsia="SimSun" w:cs="SimSun"/>
                <w:color w:val="auto"/>
                <w:kern w:val="0"/>
                <w:sz w:val="24"/>
                <w:szCs w:val="24"/>
                <w:lang w:val="en-US" w:eastAsia="zh-CN" w:bidi="ar"/>
              </w:rPr>
              <w:t>0.365</w:t>
            </w:r>
          </w:p>
        </w:tc>
        <w:tc>
          <w:tcPr>
            <w:tcW w:w="0" w:type="auto"/>
            <w:shd w:val="clear"/>
            <w:vAlign w:val="center"/>
          </w:tcPr>
          <w:p w14:paraId="7CD6F261">
            <w:pPr>
              <w:keepNext w:val="0"/>
              <w:keepLines w:val="0"/>
              <w:widowControl/>
              <w:suppressLineNumbers w:val="0"/>
              <w:jc w:val="left"/>
            </w:pPr>
            <w:r>
              <w:rPr>
                <w:rFonts w:ascii="SimSun" w:hAnsi="SimSun" w:eastAsia="SimSun" w:cs="SimSun"/>
                <w:color w:val="auto"/>
                <w:kern w:val="0"/>
                <w:sz w:val="24"/>
                <w:szCs w:val="24"/>
                <w:lang w:val="en-US" w:eastAsia="zh-CN" w:bidi="ar"/>
              </w:rPr>
              <w:t>0.363</w:t>
            </w:r>
          </w:p>
        </w:tc>
      </w:tr>
      <w:tr w14:paraId="3C6B3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47EB99">
            <w:pPr>
              <w:keepNext w:val="0"/>
              <w:keepLines w:val="0"/>
              <w:widowControl/>
              <w:suppressLineNumbers w:val="0"/>
              <w:jc w:val="left"/>
            </w:pPr>
            <w:r>
              <w:rPr>
                <w:rFonts w:ascii="SimSun" w:hAnsi="SimSun" w:eastAsia="SimSun" w:cs="SimSun"/>
                <w:color w:val="auto"/>
                <w:kern w:val="0"/>
                <w:sz w:val="24"/>
                <w:szCs w:val="24"/>
                <w:lang w:val="en-US" w:eastAsia="zh-CN" w:bidi="ar"/>
              </w:rPr>
              <w:t>Future Financial Orientation (FFO)</w:t>
            </w:r>
          </w:p>
        </w:tc>
        <w:tc>
          <w:tcPr>
            <w:tcW w:w="0" w:type="auto"/>
            <w:shd w:val="clear"/>
            <w:vAlign w:val="center"/>
          </w:tcPr>
          <w:p w14:paraId="3DA05F02">
            <w:pPr>
              <w:keepNext w:val="0"/>
              <w:keepLines w:val="0"/>
              <w:widowControl/>
              <w:suppressLineNumbers w:val="0"/>
              <w:jc w:val="left"/>
            </w:pPr>
            <w:r>
              <w:rPr>
                <w:rFonts w:ascii="SimSun" w:hAnsi="SimSun" w:eastAsia="SimSun" w:cs="SimSun"/>
                <w:color w:val="auto"/>
                <w:kern w:val="0"/>
                <w:sz w:val="24"/>
                <w:szCs w:val="24"/>
                <w:lang w:val="en-US" w:eastAsia="zh-CN" w:bidi="ar"/>
              </w:rPr>
              <w:t>0.413</w:t>
            </w:r>
          </w:p>
        </w:tc>
        <w:tc>
          <w:tcPr>
            <w:tcW w:w="0" w:type="auto"/>
            <w:shd w:val="clear"/>
            <w:vAlign w:val="center"/>
          </w:tcPr>
          <w:p w14:paraId="1E6342B7">
            <w:pPr>
              <w:keepNext w:val="0"/>
              <w:keepLines w:val="0"/>
              <w:widowControl/>
              <w:suppressLineNumbers w:val="0"/>
              <w:jc w:val="left"/>
            </w:pPr>
            <w:r>
              <w:rPr>
                <w:rFonts w:ascii="SimSun" w:hAnsi="SimSun" w:eastAsia="SimSun" w:cs="SimSun"/>
                <w:color w:val="auto"/>
                <w:kern w:val="0"/>
                <w:sz w:val="24"/>
                <w:szCs w:val="24"/>
                <w:lang w:val="en-US" w:eastAsia="zh-CN" w:bidi="ar"/>
              </w:rPr>
              <w:t>0.409</w:t>
            </w:r>
          </w:p>
        </w:tc>
      </w:tr>
    </w:tbl>
    <w:p w14:paraId="531AFA4E">
      <w:pPr>
        <w:pStyle w:val="19"/>
        <w:keepNext w:val="0"/>
        <w:keepLines w:val="0"/>
        <w:widowControl/>
        <w:suppressLineNumbers w:val="0"/>
      </w:pPr>
      <w:r>
        <w:rPr>
          <w:rStyle w:val="11"/>
        </w:rPr>
        <w:t>Note.</w:t>
      </w:r>
      <w:r>
        <w:t xml:space="preserve"> R² indicates the proportion of variance in an endogenous construct explained by its predictors. Adjusted R² accounts for the number of predictors.</w:t>
      </w:r>
    </w:p>
    <w:p w14:paraId="42076E6F">
      <w:pPr>
        <w:pStyle w:val="19"/>
        <w:keepNext w:val="0"/>
        <w:keepLines w:val="0"/>
        <w:widowControl/>
        <w:suppressLineNumbers w:val="0"/>
      </w:pPr>
      <w:r>
        <w:t>The model explained 5.3% of the variance in FMB, 36.5% in ISB, and 41.3% in FFO. The corresponding adjusted R² values were 0.050, 0.363, and 0.409, respectively. Thus, the model explained a relatively limited proportion of the variance in FMB, despite the statistically significant relationships between its predictors and FMB.</w:t>
      </w:r>
    </w:p>
    <w:p w14:paraId="1A5F0A41">
      <w:pPr>
        <w:pStyle w:val="6"/>
        <w:keepNext w:val="0"/>
        <w:keepLines w:val="0"/>
        <w:widowControl/>
        <w:suppressLineNumbers w:val="0"/>
      </w:pPr>
      <w:r>
        <w:t>4.3.2 Effect Sizes</w:t>
      </w:r>
    </w:p>
    <w:p w14:paraId="2320DB36">
      <w:pPr>
        <w:pStyle w:val="19"/>
        <w:keepNext w:val="0"/>
        <w:keepLines w:val="0"/>
        <w:widowControl/>
        <w:suppressLineNumbers w:val="0"/>
      </w:pPr>
      <w:r>
        <w:t>Effect sizes (f²) were examined to assess the contribution of individual predictors to the explained variance of their respective endogenous constructs. Table 7 presents the effect sizes for all seven structural paths.</w:t>
      </w:r>
    </w:p>
    <w:p w14:paraId="51995D96">
      <w:pPr>
        <w:pStyle w:val="19"/>
        <w:keepNext w:val="0"/>
        <w:keepLines w:val="0"/>
        <w:widowControl/>
        <w:suppressLineNumbers w:val="0"/>
      </w:pPr>
      <w:r>
        <w:rPr>
          <w:rStyle w:val="20"/>
        </w:rPr>
        <w:t>Table 7. Effect Sizes (f²) for Structural Paths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89"/>
        <w:gridCol w:w="675"/>
      </w:tblGrid>
      <w:tr w14:paraId="1FD55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CF03123">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Structural path</w:t>
            </w:r>
          </w:p>
        </w:tc>
        <w:tc>
          <w:tcPr>
            <w:tcW w:w="0" w:type="auto"/>
            <w:shd w:val="clear"/>
            <w:vAlign w:val="center"/>
          </w:tcPr>
          <w:p w14:paraId="69B1BFF9">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f²</w:t>
            </w:r>
          </w:p>
        </w:tc>
      </w:tr>
      <w:tr w14:paraId="531C4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C66B84">
            <w:pPr>
              <w:keepNext w:val="0"/>
              <w:keepLines w:val="0"/>
              <w:widowControl/>
              <w:suppressLineNumbers w:val="0"/>
              <w:jc w:val="left"/>
            </w:pPr>
            <w:r>
              <w:rPr>
                <w:rFonts w:ascii="SimSun" w:hAnsi="SimSun" w:eastAsia="SimSun" w:cs="SimSun"/>
                <w:color w:val="auto"/>
                <w:kern w:val="0"/>
                <w:sz w:val="24"/>
                <w:szCs w:val="24"/>
                <w:lang w:val="en-US" w:eastAsia="zh-CN" w:bidi="ar"/>
              </w:rPr>
              <w:t>DFB → FMB</w:t>
            </w:r>
          </w:p>
        </w:tc>
        <w:tc>
          <w:tcPr>
            <w:tcW w:w="0" w:type="auto"/>
            <w:shd w:val="clear"/>
            <w:vAlign w:val="center"/>
          </w:tcPr>
          <w:p w14:paraId="2929C79B">
            <w:pPr>
              <w:keepNext w:val="0"/>
              <w:keepLines w:val="0"/>
              <w:widowControl/>
              <w:suppressLineNumbers w:val="0"/>
              <w:jc w:val="left"/>
            </w:pPr>
            <w:r>
              <w:rPr>
                <w:rFonts w:ascii="SimSun" w:hAnsi="SimSun" w:eastAsia="SimSun" w:cs="SimSun"/>
                <w:color w:val="auto"/>
                <w:kern w:val="0"/>
                <w:sz w:val="24"/>
                <w:szCs w:val="24"/>
                <w:lang w:val="en-US" w:eastAsia="zh-CN" w:bidi="ar"/>
              </w:rPr>
              <w:t>0.049</w:t>
            </w:r>
          </w:p>
        </w:tc>
      </w:tr>
      <w:tr w14:paraId="6D0F1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F4D4D1">
            <w:pPr>
              <w:keepNext w:val="0"/>
              <w:keepLines w:val="0"/>
              <w:widowControl/>
              <w:suppressLineNumbers w:val="0"/>
              <w:jc w:val="left"/>
            </w:pPr>
            <w:r>
              <w:rPr>
                <w:rFonts w:ascii="SimSun" w:hAnsi="SimSun" w:eastAsia="SimSun" w:cs="SimSun"/>
                <w:color w:val="auto"/>
                <w:kern w:val="0"/>
                <w:sz w:val="24"/>
                <w:szCs w:val="24"/>
                <w:lang w:val="en-US" w:eastAsia="zh-CN" w:bidi="ar"/>
              </w:rPr>
              <w:t>DFB → ISB</w:t>
            </w:r>
          </w:p>
        </w:tc>
        <w:tc>
          <w:tcPr>
            <w:tcW w:w="0" w:type="auto"/>
            <w:shd w:val="clear"/>
            <w:vAlign w:val="center"/>
          </w:tcPr>
          <w:p w14:paraId="718E6935">
            <w:pPr>
              <w:keepNext w:val="0"/>
              <w:keepLines w:val="0"/>
              <w:widowControl/>
              <w:suppressLineNumbers w:val="0"/>
              <w:jc w:val="left"/>
            </w:pPr>
            <w:r>
              <w:rPr>
                <w:rFonts w:ascii="SimSun" w:hAnsi="SimSun" w:eastAsia="SimSun" w:cs="SimSun"/>
                <w:color w:val="auto"/>
                <w:kern w:val="0"/>
                <w:sz w:val="24"/>
                <w:szCs w:val="24"/>
                <w:lang w:val="en-US" w:eastAsia="zh-CN" w:bidi="ar"/>
              </w:rPr>
              <w:t>0.119</w:t>
            </w:r>
          </w:p>
        </w:tc>
      </w:tr>
      <w:tr w14:paraId="04CCA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9B119A">
            <w:pPr>
              <w:keepNext w:val="0"/>
              <w:keepLines w:val="0"/>
              <w:widowControl/>
              <w:suppressLineNumbers w:val="0"/>
              <w:jc w:val="left"/>
            </w:pPr>
            <w:r>
              <w:rPr>
                <w:rFonts w:ascii="SimSun" w:hAnsi="SimSun" w:eastAsia="SimSun" w:cs="SimSun"/>
                <w:color w:val="auto"/>
                <w:kern w:val="0"/>
                <w:sz w:val="24"/>
                <w:szCs w:val="24"/>
                <w:lang w:val="en-US" w:eastAsia="zh-CN" w:bidi="ar"/>
              </w:rPr>
              <w:t>FL → FFO</w:t>
            </w:r>
          </w:p>
        </w:tc>
        <w:tc>
          <w:tcPr>
            <w:tcW w:w="0" w:type="auto"/>
            <w:shd w:val="clear"/>
            <w:vAlign w:val="center"/>
          </w:tcPr>
          <w:p w14:paraId="02D09F5D">
            <w:pPr>
              <w:keepNext w:val="0"/>
              <w:keepLines w:val="0"/>
              <w:widowControl/>
              <w:suppressLineNumbers w:val="0"/>
              <w:jc w:val="left"/>
            </w:pPr>
            <w:r>
              <w:rPr>
                <w:rFonts w:ascii="SimSun" w:hAnsi="SimSun" w:eastAsia="SimSun" w:cs="SimSun"/>
                <w:color w:val="auto"/>
                <w:kern w:val="0"/>
                <w:sz w:val="24"/>
                <w:szCs w:val="24"/>
                <w:lang w:val="en-US" w:eastAsia="zh-CN" w:bidi="ar"/>
              </w:rPr>
              <w:t>0.003</w:t>
            </w:r>
          </w:p>
        </w:tc>
      </w:tr>
      <w:tr w14:paraId="72950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206F157">
            <w:pPr>
              <w:keepNext w:val="0"/>
              <w:keepLines w:val="0"/>
              <w:widowControl/>
              <w:suppressLineNumbers w:val="0"/>
              <w:jc w:val="left"/>
            </w:pPr>
            <w:r>
              <w:rPr>
                <w:rFonts w:ascii="SimSun" w:hAnsi="SimSun" w:eastAsia="SimSun" w:cs="SimSun"/>
                <w:color w:val="auto"/>
                <w:kern w:val="0"/>
                <w:sz w:val="24"/>
                <w:szCs w:val="24"/>
                <w:lang w:val="en-US" w:eastAsia="zh-CN" w:bidi="ar"/>
              </w:rPr>
              <w:t>FL → FMB</w:t>
            </w:r>
          </w:p>
        </w:tc>
        <w:tc>
          <w:tcPr>
            <w:tcW w:w="0" w:type="auto"/>
            <w:shd w:val="clear"/>
            <w:vAlign w:val="center"/>
          </w:tcPr>
          <w:p w14:paraId="34D403D1">
            <w:pPr>
              <w:keepNext w:val="0"/>
              <w:keepLines w:val="0"/>
              <w:widowControl/>
              <w:suppressLineNumbers w:val="0"/>
              <w:jc w:val="left"/>
            </w:pPr>
            <w:r>
              <w:rPr>
                <w:rFonts w:ascii="SimSun" w:hAnsi="SimSun" w:eastAsia="SimSun" w:cs="SimSun"/>
                <w:color w:val="auto"/>
                <w:kern w:val="0"/>
                <w:sz w:val="24"/>
                <w:szCs w:val="24"/>
                <w:lang w:val="en-US" w:eastAsia="zh-CN" w:bidi="ar"/>
              </w:rPr>
              <w:t>0.013</w:t>
            </w:r>
          </w:p>
        </w:tc>
      </w:tr>
      <w:tr w14:paraId="77B6F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D4D699">
            <w:pPr>
              <w:keepNext w:val="0"/>
              <w:keepLines w:val="0"/>
              <w:widowControl/>
              <w:suppressLineNumbers w:val="0"/>
              <w:jc w:val="left"/>
            </w:pPr>
            <w:r>
              <w:rPr>
                <w:rFonts w:ascii="SimSun" w:hAnsi="SimSun" w:eastAsia="SimSun" w:cs="SimSun"/>
                <w:color w:val="auto"/>
                <w:kern w:val="0"/>
                <w:sz w:val="24"/>
                <w:szCs w:val="24"/>
                <w:lang w:val="en-US" w:eastAsia="zh-CN" w:bidi="ar"/>
              </w:rPr>
              <w:t>FMB → FFO</w:t>
            </w:r>
          </w:p>
        </w:tc>
        <w:tc>
          <w:tcPr>
            <w:tcW w:w="0" w:type="auto"/>
            <w:shd w:val="clear"/>
            <w:vAlign w:val="center"/>
          </w:tcPr>
          <w:p w14:paraId="2891B378">
            <w:pPr>
              <w:keepNext w:val="0"/>
              <w:keepLines w:val="0"/>
              <w:widowControl/>
              <w:suppressLineNumbers w:val="0"/>
              <w:jc w:val="left"/>
            </w:pPr>
            <w:r>
              <w:rPr>
                <w:rFonts w:ascii="SimSun" w:hAnsi="SimSun" w:eastAsia="SimSun" w:cs="SimSun"/>
                <w:color w:val="auto"/>
                <w:kern w:val="0"/>
                <w:sz w:val="24"/>
                <w:szCs w:val="24"/>
                <w:lang w:val="en-US" w:eastAsia="zh-CN" w:bidi="ar"/>
              </w:rPr>
              <w:t>0.492</w:t>
            </w:r>
          </w:p>
        </w:tc>
      </w:tr>
      <w:tr w14:paraId="7B4F7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28A133">
            <w:pPr>
              <w:keepNext w:val="0"/>
              <w:keepLines w:val="0"/>
              <w:widowControl/>
              <w:suppressLineNumbers w:val="0"/>
              <w:jc w:val="left"/>
            </w:pPr>
            <w:r>
              <w:rPr>
                <w:rFonts w:ascii="SimSun" w:hAnsi="SimSun" w:eastAsia="SimSun" w:cs="SimSun"/>
                <w:color w:val="auto"/>
                <w:kern w:val="0"/>
                <w:sz w:val="24"/>
                <w:szCs w:val="24"/>
                <w:lang w:val="en-US" w:eastAsia="zh-CN" w:bidi="ar"/>
              </w:rPr>
              <w:t>ISB → FFO</w:t>
            </w:r>
          </w:p>
        </w:tc>
        <w:tc>
          <w:tcPr>
            <w:tcW w:w="0" w:type="auto"/>
            <w:shd w:val="clear"/>
            <w:vAlign w:val="center"/>
          </w:tcPr>
          <w:p w14:paraId="78625876">
            <w:pPr>
              <w:keepNext w:val="0"/>
              <w:keepLines w:val="0"/>
              <w:widowControl/>
              <w:suppressLineNumbers w:val="0"/>
              <w:jc w:val="left"/>
            </w:pPr>
            <w:r>
              <w:rPr>
                <w:rFonts w:ascii="SimSun" w:hAnsi="SimSun" w:eastAsia="SimSun" w:cs="SimSun"/>
                <w:color w:val="auto"/>
                <w:kern w:val="0"/>
                <w:sz w:val="24"/>
                <w:szCs w:val="24"/>
                <w:lang w:val="en-US" w:eastAsia="zh-CN" w:bidi="ar"/>
              </w:rPr>
              <w:t>0.042</w:t>
            </w:r>
          </w:p>
        </w:tc>
      </w:tr>
      <w:tr w14:paraId="15FDB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3B46E45">
            <w:pPr>
              <w:keepNext w:val="0"/>
              <w:keepLines w:val="0"/>
              <w:widowControl/>
              <w:suppressLineNumbers w:val="0"/>
              <w:jc w:val="left"/>
            </w:pPr>
            <w:r>
              <w:rPr>
                <w:rFonts w:ascii="SimSun" w:hAnsi="SimSun" w:eastAsia="SimSun" w:cs="SimSun"/>
                <w:color w:val="auto"/>
                <w:kern w:val="0"/>
                <w:sz w:val="24"/>
                <w:szCs w:val="24"/>
                <w:lang w:val="en-US" w:eastAsia="zh-CN" w:bidi="ar"/>
              </w:rPr>
              <w:t>SI → ISB</w:t>
            </w:r>
          </w:p>
        </w:tc>
        <w:tc>
          <w:tcPr>
            <w:tcW w:w="0" w:type="auto"/>
            <w:shd w:val="clear"/>
            <w:vAlign w:val="center"/>
          </w:tcPr>
          <w:p w14:paraId="61FD71A6">
            <w:pPr>
              <w:keepNext w:val="0"/>
              <w:keepLines w:val="0"/>
              <w:widowControl/>
              <w:suppressLineNumbers w:val="0"/>
              <w:jc w:val="left"/>
            </w:pPr>
            <w:r>
              <w:rPr>
                <w:rFonts w:ascii="SimSun" w:hAnsi="SimSun" w:eastAsia="SimSun" w:cs="SimSun"/>
                <w:color w:val="auto"/>
                <w:kern w:val="0"/>
                <w:sz w:val="24"/>
                <w:szCs w:val="24"/>
                <w:lang w:val="en-US" w:eastAsia="zh-CN" w:bidi="ar"/>
              </w:rPr>
              <w:t>0.268</w:t>
            </w:r>
          </w:p>
        </w:tc>
      </w:tr>
    </w:tbl>
    <w:p w14:paraId="562F7113">
      <w:pPr>
        <w:pStyle w:val="19"/>
        <w:keepNext w:val="0"/>
        <w:keepLines w:val="0"/>
        <w:widowControl/>
        <w:suppressLineNumbers w:val="0"/>
      </w:pPr>
      <w:r>
        <w:rPr>
          <w:rStyle w:val="11"/>
        </w:rPr>
        <w:t>Note.</w:t>
      </w:r>
      <w:r>
        <w:t xml:space="preserve"> f² represents the change in an endogenous construct’s explained variance attributable to a predictor. Values are rounded to three decimal places.</w:t>
      </w:r>
    </w:p>
    <w:p w14:paraId="7D15DFB9">
      <w:pPr>
        <w:pStyle w:val="19"/>
        <w:keepNext w:val="0"/>
        <w:keepLines w:val="0"/>
        <w:widowControl/>
        <w:suppressLineNumbers w:val="0"/>
      </w:pPr>
      <w:r>
        <w:t>The largest effect size was observed for FMB → FFO (f² = 0.492), followed by SI → ISB (f² = 0.268). DFB → ISB had an f² of 0.119, whereas the effects of DFB → FMB and ISB → FFO were 0.049 and 0.042, respectively. The FL → FMB effect was small (f² = 0.013), while the FL → FFO effect was negligible (f² = 0.003). These results highlight the contribution of FMB to explaining FFO, while indicating a limited direct contribution from FL to FFO.</w:t>
      </w:r>
    </w:p>
    <w:p w14:paraId="51F8C27B">
      <w:pPr>
        <w:pStyle w:val="19"/>
        <w:keepNext w:val="0"/>
        <w:keepLines w:val="0"/>
        <w:widowControl/>
        <w:suppressLineNumbers w:val="0"/>
      </w:pPr>
      <w:r>
        <w:t>Taken together, the structural results indicate that the proposed model captures several statistically significant relationships among financial knowledge, digital financial behavior, financial management, impulsive spending, social influence, and future financial orientation. Nevertheless, statistical significance should not be equated with large explanatory contributions, and the cross-sectional design does not establish causality.</w:t>
      </w:r>
    </w:p>
    <w:p w14:paraId="36150284">
      <w:pPr>
        <w:pStyle w:val="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4.4 Specific Indirect Effects</w:t>
      </w:r>
    </w:p>
    <w:p w14:paraId="17F667A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Specific indirect effects were assessed using bootstrapping with 5,000 subsamples. The four indirect pathways specified in Section 2.10 were evaluated using the estimated indirect coefficients, t-values, and p-values.</w:t>
      </w:r>
    </w:p>
    <w:p w14:paraId="7B740DF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All four specific indirect effects were statistically significant. The indirect association between Social Influence (SI) and Future Financial Orientation (FFO) through Impulsive Spending Behavior (ISB) was negative (β = −0.073, t = 4.247, p &lt; .001). Similarly, the indirect association between Digital Financial Behavior (DFB) and FFO through ISB was negative (β = −0.049, t = 4.072, p &lt; .001).</w:t>
      </w:r>
    </w:p>
    <w:p w14:paraId="5050D63A">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indirect association between DFB and FFO through Financial Management Behavior (FMB) was also negative (β = −0.123, t = 4.945, p &lt; .001). In contrast, the indirect association between Financial Literacy (FL) and FFO through FMB was positive and statistically significant (β = 0.063, t = 2.619, p = .009).</w:t>
      </w:r>
    </w:p>
    <w:p w14:paraId="534C3B0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For the FL → FMB → FFO pathway, the direct FL → FFO relationship was not statistically significant (β = 0.046, p = .162), whereas the FL → FMB relationship was statistically significant (β = 0.111, p = .008). Thus, the results indicate a significant indirect association between FL and FFO through FMB, despite the nonsignificant direct FL → FFO relationship. However, the findings should not be classified as full mediation solely on the basis of the nonsignificant direct effect.</w:t>
      </w:r>
    </w:p>
    <w:p w14:paraId="76BA2A5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Overall, all four proposed indirect pathways were statistically significant. However, because the study uses cross-sectional observational data, these findings should be interpreted as indirect statistical associations consistent with the proposed framework rather than as evidence of causal mediation.</w:t>
      </w:r>
    </w:p>
    <w:p w14:paraId="2F45A669">
      <w:pPr>
        <w:pStyle w:val="6"/>
        <w:keepNext w:val="0"/>
        <w:keepLines w:val="0"/>
        <w:widowControl/>
        <w:suppressLineNumbers w:val="0"/>
      </w:pPr>
      <w:r>
        <w:t>Table 8. Specific Indirect Effects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75"/>
        <w:gridCol w:w="736"/>
        <w:gridCol w:w="767"/>
        <w:gridCol w:w="821"/>
        <w:gridCol w:w="1975"/>
      </w:tblGrid>
      <w:tr w14:paraId="5EA27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C77449">
            <w:pPr>
              <w:pStyle w:val="19"/>
              <w:keepNext w:val="0"/>
              <w:keepLines w:val="0"/>
              <w:widowControl/>
              <w:suppressLineNumbers w:val="0"/>
              <w:jc w:val="center"/>
            </w:pPr>
            <w:r>
              <w:rPr>
                <w:b/>
                <w:bCs/>
              </w:rPr>
              <w:t>Specific indirect pathway</w:t>
            </w:r>
          </w:p>
        </w:tc>
        <w:tc>
          <w:tcPr>
            <w:tcW w:w="0" w:type="auto"/>
            <w:shd w:val="clear"/>
            <w:vAlign w:val="center"/>
          </w:tcPr>
          <w:p w14:paraId="59BEB538">
            <w:pPr>
              <w:pStyle w:val="19"/>
              <w:keepNext w:val="0"/>
              <w:keepLines w:val="0"/>
              <w:widowControl/>
              <w:suppressLineNumbers w:val="0"/>
              <w:jc w:val="center"/>
            </w:pPr>
            <w:r>
              <w:rPr>
                <w:b/>
                <w:bCs/>
              </w:rPr>
              <w:t>β</w:t>
            </w:r>
          </w:p>
        </w:tc>
        <w:tc>
          <w:tcPr>
            <w:tcW w:w="0" w:type="auto"/>
            <w:shd w:val="clear"/>
            <w:vAlign w:val="center"/>
          </w:tcPr>
          <w:p w14:paraId="25493C52">
            <w:pPr>
              <w:pStyle w:val="19"/>
              <w:keepNext w:val="0"/>
              <w:keepLines w:val="0"/>
              <w:widowControl/>
              <w:suppressLineNumbers w:val="0"/>
              <w:jc w:val="center"/>
            </w:pPr>
            <w:r>
              <w:rPr>
                <w:b/>
                <w:bCs/>
              </w:rPr>
              <w:t>t-value</w:t>
            </w:r>
          </w:p>
        </w:tc>
        <w:tc>
          <w:tcPr>
            <w:tcW w:w="0" w:type="auto"/>
            <w:shd w:val="clear"/>
            <w:vAlign w:val="center"/>
          </w:tcPr>
          <w:p w14:paraId="7AD46E21">
            <w:pPr>
              <w:pStyle w:val="19"/>
              <w:keepNext w:val="0"/>
              <w:keepLines w:val="0"/>
              <w:widowControl/>
              <w:suppressLineNumbers w:val="0"/>
              <w:jc w:val="center"/>
            </w:pPr>
            <w:r>
              <w:rPr>
                <w:b/>
                <w:bCs/>
              </w:rPr>
              <w:t>p-value</w:t>
            </w:r>
          </w:p>
        </w:tc>
        <w:tc>
          <w:tcPr>
            <w:tcW w:w="0" w:type="auto"/>
            <w:shd w:val="clear"/>
            <w:vAlign w:val="center"/>
          </w:tcPr>
          <w:p w14:paraId="0FEC9DC1">
            <w:pPr>
              <w:pStyle w:val="19"/>
              <w:keepNext w:val="0"/>
              <w:keepLines w:val="0"/>
              <w:widowControl/>
              <w:suppressLineNumbers w:val="0"/>
              <w:jc w:val="center"/>
            </w:pPr>
            <w:r>
              <w:rPr>
                <w:b/>
                <w:bCs/>
              </w:rPr>
              <w:t>Statistical decision</w:t>
            </w:r>
          </w:p>
        </w:tc>
      </w:tr>
      <w:tr w14:paraId="03F78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2F4F21">
            <w:pPr>
              <w:pStyle w:val="19"/>
              <w:keepNext w:val="0"/>
              <w:keepLines w:val="0"/>
              <w:widowControl/>
              <w:suppressLineNumbers w:val="0"/>
            </w:pPr>
            <w:r>
              <w:t>SI → ISB → FFO</w:t>
            </w:r>
          </w:p>
        </w:tc>
        <w:tc>
          <w:tcPr>
            <w:tcW w:w="0" w:type="auto"/>
            <w:shd w:val="clear"/>
            <w:vAlign w:val="center"/>
          </w:tcPr>
          <w:p w14:paraId="00B30052">
            <w:pPr>
              <w:pStyle w:val="19"/>
              <w:keepNext w:val="0"/>
              <w:keepLines w:val="0"/>
              <w:widowControl/>
              <w:suppressLineNumbers w:val="0"/>
            </w:pPr>
            <w:r>
              <w:t>−0.073</w:t>
            </w:r>
          </w:p>
        </w:tc>
        <w:tc>
          <w:tcPr>
            <w:tcW w:w="0" w:type="auto"/>
            <w:shd w:val="clear"/>
            <w:vAlign w:val="center"/>
          </w:tcPr>
          <w:p w14:paraId="0960B386">
            <w:pPr>
              <w:pStyle w:val="19"/>
              <w:keepNext w:val="0"/>
              <w:keepLines w:val="0"/>
              <w:widowControl/>
              <w:suppressLineNumbers w:val="0"/>
            </w:pPr>
            <w:r>
              <w:t>4.247</w:t>
            </w:r>
          </w:p>
        </w:tc>
        <w:tc>
          <w:tcPr>
            <w:tcW w:w="0" w:type="auto"/>
            <w:shd w:val="clear"/>
            <w:vAlign w:val="center"/>
          </w:tcPr>
          <w:p w14:paraId="1B6DBCAD">
            <w:pPr>
              <w:pStyle w:val="19"/>
              <w:keepNext w:val="0"/>
              <w:keepLines w:val="0"/>
              <w:widowControl/>
              <w:suppressLineNumbers w:val="0"/>
            </w:pPr>
            <w:r>
              <w:t>&lt; .001</w:t>
            </w:r>
          </w:p>
        </w:tc>
        <w:tc>
          <w:tcPr>
            <w:tcW w:w="0" w:type="auto"/>
            <w:shd w:val="clear"/>
            <w:vAlign w:val="center"/>
          </w:tcPr>
          <w:p w14:paraId="2163F1D7">
            <w:pPr>
              <w:pStyle w:val="19"/>
              <w:keepNext w:val="0"/>
              <w:keepLines w:val="0"/>
              <w:widowControl/>
              <w:suppressLineNumbers w:val="0"/>
            </w:pPr>
            <w:r>
              <w:t>Significant</w:t>
            </w:r>
          </w:p>
        </w:tc>
      </w:tr>
      <w:tr w14:paraId="4EF75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F39C90">
            <w:pPr>
              <w:pStyle w:val="19"/>
              <w:keepNext w:val="0"/>
              <w:keepLines w:val="0"/>
              <w:widowControl/>
              <w:suppressLineNumbers w:val="0"/>
            </w:pPr>
            <w:r>
              <w:t>DFB → ISB → FFO</w:t>
            </w:r>
          </w:p>
        </w:tc>
        <w:tc>
          <w:tcPr>
            <w:tcW w:w="0" w:type="auto"/>
            <w:shd w:val="clear"/>
            <w:vAlign w:val="center"/>
          </w:tcPr>
          <w:p w14:paraId="137D5D75">
            <w:pPr>
              <w:pStyle w:val="19"/>
              <w:keepNext w:val="0"/>
              <w:keepLines w:val="0"/>
              <w:widowControl/>
              <w:suppressLineNumbers w:val="0"/>
            </w:pPr>
            <w:r>
              <w:t>−0.049</w:t>
            </w:r>
          </w:p>
        </w:tc>
        <w:tc>
          <w:tcPr>
            <w:tcW w:w="0" w:type="auto"/>
            <w:shd w:val="clear"/>
            <w:vAlign w:val="center"/>
          </w:tcPr>
          <w:p w14:paraId="332ED633">
            <w:pPr>
              <w:pStyle w:val="19"/>
              <w:keepNext w:val="0"/>
              <w:keepLines w:val="0"/>
              <w:widowControl/>
              <w:suppressLineNumbers w:val="0"/>
            </w:pPr>
            <w:r>
              <w:t>4.072</w:t>
            </w:r>
          </w:p>
        </w:tc>
        <w:tc>
          <w:tcPr>
            <w:tcW w:w="0" w:type="auto"/>
            <w:shd w:val="clear"/>
            <w:vAlign w:val="center"/>
          </w:tcPr>
          <w:p w14:paraId="47870B7A">
            <w:pPr>
              <w:pStyle w:val="19"/>
              <w:keepNext w:val="0"/>
              <w:keepLines w:val="0"/>
              <w:widowControl/>
              <w:suppressLineNumbers w:val="0"/>
            </w:pPr>
            <w:r>
              <w:t>&lt; .001</w:t>
            </w:r>
          </w:p>
        </w:tc>
        <w:tc>
          <w:tcPr>
            <w:tcW w:w="0" w:type="auto"/>
            <w:shd w:val="clear"/>
            <w:vAlign w:val="center"/>
          </w:tcPr>
          <w:p w14:paraId="6ED2D3B3">
            <w:pPr>
              <w:pStyle w:val="19"/>
              <w:keepNext w:val="0"/>
              <w:keepLines w:val="0"/>
              <w:widowControl/>
              <w:suppressLineNumbers w:val="0"/>
            </w:pPr>
            <w:r>
              <w:t>Significant</w:t>
            </w:r>
          </w:p>
        </w:tc>
      </w:tr>
      <w:tr w14:paraId="3D1A1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1B7E10">
            <w:pPr>
              <w:pStyle w:val="19"/>
              <w:keepNext w:val="0"/>
              <w:keepLines w:val="0"/>
              <w:widowControl/>
              <w:suppressLineNumbers w:val="0"/>
            </w:pPr>
            <w:r>
              <w:t>DFB → FMB → FFO</w:t>
            </w:r>
          </w:p>
        </w:tc>
        <w:tc>
          <w:tcPr>
            <w:tcW w:w="0" w:type="auto"/>
            <w:shd w:val="clear"/>
            <w:vAlign w:val="center"/>
          </w:tcPr>
          <w:p w14:paraId="198596E3">
            <w:pPr>
              <w:pStyle w:val="19"/>
              <w:keepNext w:val="0"/>
              <w:keepLines w:val="0"/>
              <w:widowControl/>
              <w:suppressLineNumbers w:val="0"/>
            </w:pPr>
            <w:r>
              <w:t>−0.123</w:t>
            </w:r>
          </w:p>
        </w:tc>
        <w:tc>
          <w:tcPr>
            <w:tcW w:w="0" w:type="auto"/>
            <w:shd w:val="clear"/>
            <w:vAlign w:val="center"/>
          </w:tcPr>
          <w:p w14:paraId="53B22D55">
            <w:pPr>
              <w:pStyle w:val="19"/>
              <w:keepNext w:val="0"/>
              <w:keepLines w:val="0"/>
              <w:widowControl/>
              <w:suppressLineNumbers w:val="0"/>
            </w:pPr>
            <w:r>
              <w:t>4.945</w:t>
            </w:r>
          </w:p>
        </w:tc>
        <w:tc>
          <w:tcPr>
            <w:tcW w:w="0" w:type="auto"/>
            <w:shd w:val="clear"/>
            <w:vAlign w:val="center"/>
          </w:tcPr>
          <w:p w14:paraId="48C1B14F">
            <w:pPr>
              <w:pStyle w:val="19"/>
              <w:keepNext w:val="0"/>
              <w:keepLines w:val="0"/>
              <w:widowControl/>
              <w:suppressLineNumbers w:val="0"/>
            </w:pPr>
            <w:r>
              <w:t>&lt; .001</w:t>
            </w:r>
          </w:p>
        </w:tc>
        <w:tc>
          <w:tcPr>
            <w:tcW w:w="0" w:type="auto"/>
            <w:shd w:val="clear"/>
            <w:vAlign w:val="center"/>
          </w:tcPr>
          <w:p w14:paraId="61DAA6B7">
            <w:pPr>
              <w:pStyle w:val="19"/>
              <w:keepNext w:val="0"/>
              <w:keepLines w:val="0"/>
              <w:widowControl/>
              <w:suppressLineNumbers w:val="0"/>
            </w:pPr>
            <w:r>
              <w:t>Significant</w:t>
            </w:r>
          </w:p>
        </w:tc>
      </w:tr>
      <w:tr w14:paraId="7149D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F59D2E">
            <w:pPr>
              <w:pStyle w:val="19"/>
              <w:keepNext w:val="0"/>
              <w:keepLines w:val="0"/>
              <w:widowControl/>
              <w:suppressLineNumbers w:val="0"/>
            </w:pPr>
            <w:r>
              <w:t>FL → FMB → FFO</w:t>
            </w:r>
          </w:p>
        </w:tc>
        <w:tc>
          <w:tcPr>
            <w:tcW w:w="0" w:type="auto"/>
            <w:shd w:val="clear"/>
            <w:vAlign w:val="center"/>
          </w:tcPr>
          <w:p w14:paraId="6D6C9649">
            <w:pPr>
              <w:pStyle w:val="19"/>
              <w:keepNext w:val="0"/>
              <w:keepLines w:val="0"/>
              <w:widowControl/>
              <w:suppressLineNumbers w:val="0"/>
            </w:pPr>
            <w:r>
              <w:t>0.063</w:t>
            </w:r>
          </w:p>
        </w:tc>
        <w:tc>
          <w:tcPr>
            <w:tcW w:w="0" w:type="auto"/>
            <w:shd w:val="clear"/>
            <w:vAlign w:val="center"/>
          </w:tcPr>
          <w:p w14:paraId="0B3E4A19">
            <w:pPr>
              <w:pStyle w:val="19"/>
              <w:keepNext w:val="0"/>
              <w:keepLines w:val="0"/>
              <w:widowControl/>
              <w:suppressLineNumbers w:val="0"/>
            </w:pPr>
            <w:r>
              <w:t>2.619</w:t>
            </w:r>
          </w:p>
        </w:tc>
        <w:tc>
          <w:tcPr>
            <w:tcW w:w="0" w:type="auto"/>
            <w:shd w:val="clear"/>
            <w:vAlign w:val="center"/>
          </w:tcPr>
          <w:p w14:paraId="231527C1">
            <w:pPr>
              <w:pStyle w:val="19"/>
              <w:keepNext w:val="0"/>
              <w:keepLines w:val="0"/>
              <w:widowControl/>
              <w:suppressLineNumbers w:val="0"/>
            </w:pPr>
            <w:r>
              <w:t>.009</w:t>
            </w:r>
          </w:p>
        </w:tc>
        <w:tc>
          <w:tcPr>
            <w:tcW w:w="0" w:type="auto"/>
            <w:shd w:val="clear"/>
            <w:vAlign w:val="center"/>
          </w:tcPr>
          <w:p w14:paraId="602427AD">
            <w:pPr>
              <w:pStyle w:val="19"/>
              <w:keepNext w:val="0"/>
              <w:keepLines w:val="0"/>
              <w:widowControl/>
              <w:suppressLineNumbers w:val="0"/>
            </w:pPr>
            <w:r>
              <w:t>Significant</w:t>
            </w:r>
          </w:p>
        </w:tc>
      </w:tr>
    </w:tbl>
    <w:p w14:paraId="04566F30">
      <w:pPr>
        <w:pStyle w:val="19"/>
        <w:keepNext w:val="0"/>
        <w:keepLines w:val="0"/>
        <w:widowControl/>
        <w:suppressLineNumbers w:val="0"/>
      </w:pPr>
      <w:r>
        <w:t>Note. β = standardized indirect-effect coefficient. Statistical significance was assessed at the 5% level. The indirect effects are interpreted as statistical associations rather than evidence of causal mediation.</w:t>
      </w:r>
    </w:p>
    <w:p w14:paraId="407F45C4">
      <w:pPr>
        <w:pStyle w:val="19"/>
        <w:keepNext w:val="0"/>
        <w:keepLines w:val="0"/>
        <w:widowControl/>
        <w:suppressLineNumbers w:val="0"/>
      </w:pPr>
      <w:r>
        <w:t>All four specified indirect relationships were statistically significant. The indirect association between SI and FFO through ISB was negative (β = −0.073, p &lt; .001), as were the indirect associations of DFB with FFO through ISB (β = −0.049, p &lt; .001) and through FMB (β = −0.123, p &lt; .001). In contrast, the indirect association between FL and FFO through FMB was positive (β = 0.063, p = .009).</w:t>
      </w:r>
    </w:p>
    <w:p w14:paraId="52093D7C">
      <w:pPr>
        <w:pStyle w:val="19"/>
        <w:keepNext w:val="0"/>
        <w:keepLines w:val="0"/>
        <w:widowControl/>
        <w:suppressLineNumbers w:val="0"/>
      </w:pPr>
      <w:r>
        <w:t>The positive indirect association between FL and FFO through FMB is noteworthy because the direct FL–FFO relationship was statistically nonsignificant. This indicates that the indirect association through financial management behavior was statistically distinguishable from zero, although the cross-sectional design does not establish a causal mechanism.</w:t>
      </w:r>
    </w:p>
    <w:p w14:paraId="0BB9F0B8">
      <w:pPr>
        <w:pStyle w:val="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4.5 Discipline-Wise Differences</w:t>
      </w:r>
    </w:p>
    <w:p w14:paraId="0CB4CD9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Discipline-wise differences were examined using nonparametric tests among 535 respondents with valid academic-discipline classifications. Four groups were compared: Arts/Humanities, Business/Commerce, Medical/Health, and Science/Engineering. Kruskal–Wallis tests were conducted for six exploratory outcomes: financial literacy (FL), financial management behavior (FMB), impulsive spending behavior (ISB), </w:t>
      </w:r>
      <w:r>
        <w:rPr>
          <w:rFonts w:hint="default" w:ascii="Times New Roman" w:hAnsi="Times New Roman" w:eastAsia="SimSun" w:cs="Times New Roman"/>
          <w:sz w:val="22"/>
          <w:szCs w:val="22"/>
        </w:rPr>
        <w:t>Social Influence (SI)</w:t>
      </w:r>
      <w:r>
        <w:rPr>
          <w:rFonts w:hint="default" w:ascii="Times New Roman" w:hAnsi="Times New Roman" w:cs="Times New Roman"/>
          <w:sz w:val="22"/>
          <w:szCs w:val="22"/>
        </w:rPr>
        <w:t>, the individual saving-attempt item (Q19), and future financial orientation (FFO). Holm adjustment was applied across the six omnibus tests.</w:t>
      </w:r>
    </w:p>
    <w:p w14:paraId="4CB415C7">
      <w:pPr>
        <w:pStyle w:val="19"/>
        <w:keepNext w:val="0"/>
        <w:keepLines w:val="0"/>
        <w:widowControl/>
        <w:suppressLineNumbers w:val="0"/>
        <w:rPr>
          <w:rFonts w:hint="default" w:ascii="Times New Roman" w:hAnsi="Times New Roman" w:cs="Times New Roman"/>
          <w:sz w:val="22"/>
          <w:szCs w:val="22"/>
        </w:rPr>
      </w:pPr>
    </w:p>
    <w:p w14:paraId="110631AC">
      <w:pPr>
        <w:pStyle w:val="19"/>
        <w:keepNext w:val="0"/>
        <w:keepLines w:val="0"/>
        <w:widowControl/>
        <w:suppressLineNumbers w:val="0"/>
        <w:rPr>
          <w:rFonts w:hint="default" w:ascii="Times New Roman" w:hAnsi="Times New Roman" w:cs="Times New Roman"/>
          <w:sz w:val="22"/>
          <w:szCs w:val="22"/>
        </w:rPr>
      </w:pPr>
    </w:p>
    <w:p w14:paraId="75A3E45A">
      <w:pPr>
        <w:pStyle w:val="19"/>
        <w:keepNext w:val="0"/>
        <w:keepLines w:val="0"/>
        <w:widowControl/>
        <w:suppressLineNumbers w:val="0"/>
        <w:rPr>
          <w:rFonts w:hint="default" w:ascii="Times New Roman" w:hAnsi="Times New Roman" w:cs="Times New Roman"/>
          <w:sz w:val="22"/>
          <w:szCs w:val="22"/>
        </w:rPr>
      </w:pPr>
    </w:p>
    <w:p w14:paraId="6A49ECD9">
      <w:pPr>
        <w:pStyle w:val="19"/>
        <w:keepNext w:val="0"/>
        <w:keepLines w:val="0"/>
        <w:widowControl/>
        <w:suppressLineNumbers w:val="0"/>
        <w:rPr>
          <w:rFonts w:hint="default" w:ascii="Times New Roman" w:hAnsi="Times New Roman" w:cs="Times New Roman"/>
          <w:sz w:val="22"/>
          <w:szCs w:val="22"/>
        </w:rPr>
      </w:pPr>
    </w:p>
    <w:p w14:paraId="727D6AE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Table</w:t>
      </w:r>
      <w:r>
        <w:rPr>
          <w:rFonts w:hint="default" w:cs="Times New Roman"/>
          <w:sz w:val="22"/>
          <w:szCs w:val="22"/>
          <w:lang w:val="en-US"/>
        </w:rPr>
        <w:t xml:space="preserve">-9: </w:t>
      </w:r>
      <w:r>
        <w:rPr>
          <w:rFonts w:hint="default" w:ascii="Times New Roman" w:hAnsi="Times New Roman" w:cs="Times New Roman"/>
          <w:sz w:val="22"/>
          <w:szCs w:val="22"/>
        </w:rPr>
        <w:t>. Kruskal–Wallis Tests of Discipline-Wise Differences</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63"/>
        <w:gridCol w:w="1452"/>
        <w:gridCol w:w="1417"/>
        <w:gridCol w:w="1442"/>
        <w:gridCol w:w="1458"/>
        <w:gridCol w:w="1466"/>
      </w:tblGrid>
      <w:tr w14:paraId="57F4C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12820F">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Outcome</w:t>
            </w:r>
          </w:p>
        </w:tc>
        <w:tc>
          <w:tcPr>
            <w:tcW w:w="0" w:type="auto"/>
            <w:shd w:val="clear" w:color="auto" w:fill="auto"/>
            <w:vAlign w:val="center"/>
          </w:tcPr>
          <w:p w14:paraId="52C49491">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H</w:t>
            </w:r>
          </w:p>
        </w:tc>
        <w:tc>
          <w:tcPr>
            <w:tcW w:w="0" w:type="auto"/>
            <w:shd w:val="clear" w:color="auto" w:fill="auto"/>
            <w:vAlign w:val="center"/>
          </w:tcPr>
          <w:p w14:paraId="48106DDB">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df</w:t>
            </w:r>
          </w:p>
        </w:tc>
        <w:tc>
          <w:tcPr>
            <w:tcW w:w="0" w:type="auto"/>
            <w:shd w:val="clear" w:color="auto" w:fill="auto"/>
            <w:vAlign w:val="center"/>
          </w:tcPr>
          <w:p w14:paraId="7DDBF376">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Raw p</w:t>
            </w:r>
          </w:p>
        </w:tc>
        <w:tc>
          <w:tcPr>
            <w:tcW w:w="0" w:type="auto"/>
            <w:shd w:val="clear" w:color="auto" w:fill="auto"/>
            <w:vAlign w:val="center"/>
          </w:tcPr>
          <w:p w14:paraId="4798D9CF">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Holm-adjusted p</w:t>
            </w:r>
          </w:p>
        </w:tc>
        <w:tc>
          <w:tcPr>
            <w:tcW w:w="0" w:type="auto"/>
            <w:shd w:val="clear" w:color="auto" w:fill="auto"/>
            <w:vAlign w:val="center"/>
          </w:tcPr>
          <w:p w14:paraId="4132E61C">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ε²</w:t>
            </w:r>
          </w:p>
        </w:tc>
      </w:tr>
      <w:tr w14:paraId="7F47F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0AD0E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Financial literacy (FL)</w:t>
            </w:r>
          </w:p>
        </w:tc>
        <w:tc>
          <w:tcPr>
            <w:tcW w:w="0" w:type="auto"/>
            <w:shd w:val="clear" w:color="auto" w:fill="auto"/>
            <w:vAlign w:val="center"/>
          </w:tcPr>
          <w:p w14:paraId="771FEEC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160.573</w:t>
            </w:r>
          </w:p>
        </w:tc>
        <w:tc>
          <w:tcPr>
            <w:tcW w:w="0" w:type="auto"/>
            <w:shd w:val="clear" w:color="auto" w:fill="auto"/>
            <w:vAlign w:val="center"/>
          </w:tcPr>
          <w:p w14:paraId="04EFB5C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w:t>
            </w:r>
          </w:p>
        </w:tc>
        <w:tc>
          <w:tcPr>
            <w:tcW w:w="0" w:type="auto"/>
            <w:shd w:val="clear" w:color="auto" w:fill="auto"/>
            <w:vAlign w:val="center"/>
          </w:tcPr>
          <w:p w14:paraId="34F1854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&lt; .001</w:t>
            </w:r>
          </w:p>
        </w:tc>
        <w:tc>
          <w:tcPr>
            <w:tcW w:w="0" w:type="auto"/>
            <w:shd w:val="clear" w:color="auto" w:fill="auto"/>
            <w:vAlign w:val="center"/>
          </w:tcPr>
          <w:p w14:paraId="6C95091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&lt; .001</w:t>
            </w:r>
          </w:p>
        </w:tc>
        <w:tc>
          <w:tcPr>
            <w:tcW w:w="0" w:type="auto"/>
            <w:shd w:val="clear" w:color="auto" w:fill="auto"/>
            <w:vAlign w:val="center"/>
          </w:tcPr>
          <w:p w14:paraId="6688119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.2967</w:t>
            </w:r>
          </w:p>
        </w:tc>
      </w:tr>
      <w:tr w14:paraId="6794C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71133C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Financial management behavior (FMB)</w:t>
            </w:r>
          </w:p>
        </w:tc>
        <w:tc>
          <w:tcPr>
            <w:tcW w:w="0" w:type="auto"/>
            <w:shd w:val="clear" w:color="auto" w:fill="auto"/>
            <w:vAlign w:val="center"/>
          </w:tcPr>
          <w:p w14:paraId="25FE774A">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8.517</w:t>
            </w:r>
          </w:p>
        </w:tc>
        <w:tc>
          <w:tcPr>
            <w:tcW w:w="0" w:type="auto"/>
            <w:shd w:val="clear" w:color="auto" w:fill="auto"/>
            <w:vAlign w:val="center"/>
          </w:tcPr>
          <w:p w14:paraId="7BBE860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w:t>
            </w:r>
          </w:p>
        </w:tc>
        <w:tc>
          <w:tcPr>
            <w:tcW w:w="0" w:type="auto"/>
            <w:shd w:val="clear" w:color="auto" w:fill="auto"/>
            <w:vAlign w:val="center"/>
          </w:tcPr>
          <w:p w14:paraId="7016C67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.0364</w:t>
            </w:r>
          </w:p>
        </w:tc>
        <w:tc>
          <w:tcPr>
            <w:tcW w:w="0" w:type="auto"/>
            <w:shd w:val="clear" w:color="auto" w:fill="auto"/>
            <w:vAlign w:val="center"/>
          </w:tcPr>
          <w:p w14:paraId="55160FC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.0364</w:t>
            </w:r>
          </w:p>
        </w:tc>
        <w:tc>
          <w:tcPr>
            <w:tcW w:w="0" w:type="auto"/>
            <w:shd w:val="clear" w:color="auto" w:fill="auto"/>
            <w:vAlign w:val="center"/>
          </w:tcPr>
          <w:p w14:paraId="101A243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.0104</w:t>
            </w:r>
          </w:p>
        </w:tc>
      </w:tr>
      <w:tr w14:paraId="30B2B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2BBD12">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Impulsive spending behavior (ISB)</w:t>
            </w:r>
          </w:p>
        </w:tc>
        <w:tc>
          <w:tcPr>
            <w:tcW w:w="0" w:type="auto"/>
            <w:shd w:val="clear" w:color="auto" w:fill="auto"/>
            <w:vAlign w:val="center"/>
          </w:tcPr>
          <w:p w14:paraId="395804D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18.434</w:t>
            </w:r>
          </w:p>
        </w:tc>
        <w:tc>
          <w:tcPr>
            <w:tcW w:w="0" w:type="auto"/>
            <w:shd w:val="clear" w:color="auto" w:fill="auto"/>
            <w:vAlign w:val="center"/>
          </w:tcPr>
          <w:p w14:paraId="7A079DF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w:t>
            </w:r>
          </w:p>
        </w:tc>
        <w:tc>
          <w:tcPr>
            <w:tcW w:w="0" w:type="auto"/>
            <w:shd w:val="clear" w:color="auto" w:fill="auto"/>
            <w:vAlign w:val="center"/>
          </w:tcPr>
          <w:p w14:paraId="5961720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.0004</w:t>
            </w:r>
          </w:p>
        </w:tc>
        <w:tc>
          <w:tcPr>
            <w:tcW w:w="0" w:type="auto"/>
            <w:shd w:val="clear" w:color="auto" w:fill="auto"/>
            <w:vAlign w:val="center"/>
          </w:tcPr>
          <w:p w14:paraId="796B98D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.0018</w:t>
            </w:r>
          </w:p>
        </w:tc>
        <w:tc>
          <w:tcPr>
            <w:tcW w:w="0" w:type="auto"/>
            <w:shd w:val="clear" w:color="auto" w:fill="auto"/>
            <w:vAlign w:val="center"/>
          </w:tcPr>
          <w:p w14:paraId="286B3388">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.0291</w:t>
            </w:r>
          </w:p>
        </w:tc>
      </w:tr>
      <w:tr w14:paraId="4E40A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B9C7AF">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eastAsia="SimSun" w:cs="Times New Roman"/>
                <w:sz w:val="22"/>
                <w:szCs w:val="22"/>
              </w:rPr>
              <w:t>Social Influence (SI)</w:t>
            </w:r>
          </w:p>
        </w:tc>
        <w:tc>
          <w:tcPr>
            <w:tcW w:w="0" w:type="auto"/>
            <w:shd w:val="clear" w:color="auto" w:fill="auto"/>
            <w:vAlign w:val="center"/>
          </w:tcPr>
          <w:p w14:paraId="5378C58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17.649</w:t>
            </w:r>
          </w:p>
        </w:tc>
        <w:tc>
          <w:tcPr>
            <w:tcW w:w="0" w:type="auto"/>
            <w:shd w:val="clear" w:color="auto" w:fill="auto"/>
            <w:vAlign w:val="center"/>
          </w:tcPr>
          <w:p w14:paraId="1B00D7A3">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w:t>
            </w:r>
          </w:p>
        </w:tc>
        <w:tc>
          <w:tcPr>
            <w:tcW w:w="0" w:type="auto"/>
            <w:shd w:val="clear" w:color="auto" w:fill="auto"/>
            <w:vAlign w:val="center"/>
          </w:tcPr>
          <w:p w14:paraId="23F71D8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.0005</w:t>
            </w:r>
          </w:p>
        </w:tc>
        <w:tc>
          <w:tcPr>
            <w:tcW w:w="0" w:type="auto"/>
            <w:shd w:val="clear" w:color="auto" w:fill="auto"/>
            <w:vAlign w:val="center"/>
          </w:tcPr>
          <w:p w14:paraId="51347E3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.0021</w:t>
            </w:r>
          </w:p>
        </w:tc>
        <w:tc>
          <w:tcPr>
            <w:tcW w:w="0" w:type="auto"/>
            <w:shd w:val="clear" w:color="auto" w:fill="auto"/>
            <w:vAlign w:val="center"/>
          </w:tcPr>
          <w:p w14:paraId="56AAF85F">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.0276</w:t>
            </w:r>
          </w:p>
        </w:tc>
      </w:tr>
      <w:tr w14:paraId="093B5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85" w:type="dxa"/>
            <w:shd w:val="clear" w:color="auto" w:fill="auto"/>
            <w:vAlign w:val="center"/>
          </w:tcPr>
          <w:p w14:paraId="74FD9675">
            <w:pPr>
              <w:pStyle w:val="19"/>
              <w:keepNext w:val="0"/>
              <w:keepLines w:val="0"/>
              <w:widowControl/>
              <w:suppressLineNumbers w:val="0"/>
              <w:ind w:left="0" w:leftChars="0" w:right="0" w:rightChars="0"/>
              <w:rPr>
                <w:rFonts w:hint="default" w:ascii="Times New Roman" w:hAnsi="Times New Roman" w:cs="Times New Roman"/>
                <w:sz w:val="22"/>
                <w:szCs w:val="22"/>
              </w:rPr>
            </w:pPr>
            <w:r>
              <w:rPr>
                <w:rFonts w:hint="default" w:ascii="Times New Roman" w:hAnsi="Times New Roman" w:cs="Times New Roman"/>
                <w:sz w:val="22"/>
                <w:szCs w:val="22"/>
              </w:rPr>
              <w:t>Saving-attempt statement (Q19)</w:t>
            </w:r>
          </w:p>
        </w:tc>
        <w:tc>
          <w:tcPr>
            <w:tcW w:w="1470" w:type="dxa"/>
            <w:shd w:val="clear" w:color="auto" w:fill="auto"/>
            <w:vAlign w:val="center"/>
          </w:tcPr>
          <w:p w14:paraId="0D6FDF79">
            <w:pPr>
              <w:pStyle w:val="19"/>
              <w:keepNext w:val="0"/>
              <w:keepLines w:val="0"/>
              <w:widowControl/>
              <w:suppressLineNumbers w:val="0"/>
              <w:ind w:left="0" w:leftChars="0" w:right="0" w:rightChars="0"/>
              <w:rPr>
                <w:rFonts w:hint="default" w:ascii="Times New Roman" w:hAnsi="Times New Roman" w:cs="Times New Roman"/>
                <w:sz w:val="22"/>
                <w:szCs w:val="22"/>
              </w:rPr>
            </w:pPr>
            <w:r>
              <w:rPr>
                <w:rFonts w:hint="default" w:ascii="Times New Roman" w:hAnsi="Times New Roman" w:cs="Times New Roman"/>
                <w:sz w:val="22"/>
                <w:szCs w:val="22"/>
              </w:rPr>
              <w:t>11.138</w:t>
            </w:r>
          </w:p>
        </w:tc>
        <w:tc>
          <w:tcPr>
            <w:tcW w:w="1470" w:type="dxa"/>
            <w:shd w:val="clear" w:color="auto" w:fill="auto"/>
            <w:vAlign w:val="center"/>
          </w:tcPr>
          <w:p w14:paraId="3C733669">
            <w:pPr>
              <w:pStyle w:val="19"/>
              <w:keepNext w:val="0"/>
              <w:keepLines w:val="0"/>
              <w:widowControl/>
              <w:suppressLineNumbers w:val="0"/>
              <w:ind w:left="0" w:leftChars="0" w:right="0" w:rightChars="0"/>
              <w:rPr>
                <w:rFonts w:hint="default" w:ascii="Times New Roman" w:hAnsi="Times New Roman" w:cs="Times New Roman"/>
                <w:sz w:val="22"/>
                <w:szCs w:val="22"/>
              </w:rPr>
            </w:pPr>
            <w:r>
              <w:rPr>
                <w:rFonts w:hint="default" w:ascii="Times New Roman" w:hAnsi="Times New Roman" w:cs="Times New Roman"/>
                <w:sz w:val="22"/>
                <w:szCs w:val="22"/>
              </w:rPr>
              <w:t>3</w:t>
            </w:r>
          </w:p>
        </w:tc>
        <w:tc>
          <w:tcPr>
            <w:tcW w:w="1470" w:type="dxa"/>
            <w:shd w:val="clear" w:color="auto" w:fill="auto"/>
            <w:vAlign w:val="center"/>
          </w:tcPr>
          <w:p w14:paraId="0214558A">
            <w:pPr>
              <w:pStyle w:val="19"/>
              <w:keepNext w:val="0"/>
              <w:keepLines w:val="0"/>
              <w:widowControl/>
              <w:suppressLineNumbers w:val="0"/>
              <w:ind w:left="0" w:leftChars="0" w:right="0" w:rightChars="0"/>
              <w:rPr>
                <w:rFonts w:hint="default" w:ascii="Times New Roman" w:hAnsi="Times New Roman" w:cs="Times New Roman"/>
                <w:sz w:val="22"/>
                <w:szCs w:val="22"/>
              </w:rPr>
            </w:pPr>
            <w:r>
              <w:rPr>
                <w:rFonts w:hint="default" w:ascii="Times New Roman" w:hAnsi="Times New Roman" w:cs="Times New Roman"/>
                <w:sz w:val="22"/>
                <w:szCs w:val="22"/>
              </w:rPr>
              <w:t>.0110</w:t>
            </w:r>
          </w:p>
        </w:tc>
        <w:tc>
          <w:tcPr>
            <w:tcW w:w="1470" w:type="dxa"/>
            <w:shd w:val="clear" w:color="auto" w:fill="auto"/>
            <w:vAlign w:val="center"/>
          </w:tcPr>
          <w:p w14:paraId="6706ADD7">
            <w:pPr>
              <w:pStyle w:val="19"/>
              <w:keepNext w:val="0"/>
              <w:keepLines w:val="0"/>
              <w:widowControl/>
              <w:suppressLineNumbers w:val="0"/>
              <w:ind w:left="0" w:leftChars="0" w:right="0" w:rightChars="0"/>
              <w:rPr>
                <w:rFonts w:hint="default" w:ascii="Times New Roman" w:hAnsi="Times New Roman" w:cs="Times New Roman"/>
                <w:sz w:val="22"/>
                <w:szCs w:val="22"/>
              </w:rPr>
            </w:pPr>
            <w:r>
              <w:rPr>
                <w:rFonts w:hint="default" w:ascii="Times New Roman" w:hAnsi="Times New Roman" w:cs="Times New Roman"/>
                <w:sz w:val="22"/>
                <w:szCs w:val="22"/>
              </w:rPr>
              <w:t>.0220</w:t>
            </w:r>
          </w:p>
        </w:tc>
        <w:tc>
          <w:tcPr>
            <w:tcW w:w="1485" w:type="dxa"/>
            <w:shd w:val="clear" w:color="auto" w:fill="auto"/>
            <w:vAlign w:val="center"/>
          </w:tcPr>
          <w:p w14:paraId="5A1910F9">
            <w:pPr>
              <w:pStyle w:val="19"/>
              <w:keepNext w:val="0"/>
              <w:keepLines w:val="0"/>
              <w:widowControl/>
              <w:suppressLineNumbers w:val="0"/>
              <w:ind w:left="0" w:leftChars="0" w:right="0" w:rightChars="0"/>
              <w:rPr>
                <w:rFonts w:hint="default" w:ascii="Times New Roman" w:hAnsi="Times New Roman" w:cs="Times New Roman"/>
                <w:sz w:val="22"/>
                <w:szCs w:val="22"/>
              </w:rPr>
            </w:pPr>
            <w:r>
              <w:rPr>
                <w:rFonts w:hint="default" w:ascii="Times New Roman" w:hAnsi="Times New Roman" w:cs="Times New Roman"/>
                <w:sz w:val="22"/>
                <w:szCs w:val="22"/>
              </w:rPr>
              <w:t>.0153</w:t>
            </w:r>
          </w:p>
        </w:tc>
      </w:tr>
      <w:tr w14:paraId="75B21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CC1402">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Future financial orientation (FFO)</w:t>
            </w:r>
          </w:p>
        </w:tc>
        <w:tc>
          <w:tcPr>
            <w:tcW w:w="0" w:type="auto"/>
            <w:shd w:val="clear" w:color="auto" w:fill="auto"/>
            <w:vAlign w:val="center"/>
          </w:tcPr>
          <w:p w14:paraId="63A47D5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14.828</w:t>
            </w:r>
          </w:p>
        </w:tc>
        <w:tc>
          <w:tcPr>
            <w:tcW w:w="0" w:type="auto"/>
            <w:shd w:val="clear" w:color="auto" w:fill="auto"/>
            <w:vAlign w:val="center"/>
          </w:tcPr>
          <w:p w14:paraId="303CB8A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w:t>
            </w:r>
          </w:p>
        </w:tc>
        <w:tc>
          <w:tcPr>
            <w:tcW w:w="0" w:type="auto"/>
            <w:shd w:val="clear" w:color="auto" w:fill="auto"/>
            <w:vAlign w:val="center"/>
          </w:tcPr>
          <w:p w14:paraId="3B97CB48">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.0020</w:t>
            </w:r>
          </w:p>
        </w:tc>
        <w:tc>
          <w:tcPr>
            <w:tcW w:w="0" w:type="auto"/>
            <w:shd w:val="clear" w:color="auto" w:fill="auto"/>
            <w:vAlign w:val="center"/>
          </w:tcPr>
          <w:p w14:paraId="2A002FF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.0059</w:t>
            </w:r>
          </w:p>
        </w:tc>
        <w:tc>
          <w:tcPr>
            <w:tcW w:w="0" w:type="auto"/>
            <w:shd w:val="clear" w:color="auto" w:fill="auto"/>
            <w:vAlign w:val="center"/>
          </w:tcPr>
          <w:p w14:paraId="14B51DA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.0223</w:t>
            </w:r>
          </w:p>
        </w:tc>
      </w:tr>
    </w:tbl>
    <w:p w14:paraId="18F01663">
      <w:pPr>
        <w:pStyle w:val="19"/>
        <w:keepNext w:val="0"/>
        <w:keepLines w:val="0"/>
        <w:widowControl/>
        <w:suppressLineNumbers w:val="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Note. H = Kruskal–Wallis test statistic; df = degrees of freedom; ε² = effect-size estimate. Holm adjustment was applied across the six omnibus tests. N = 535. Values reported as p &lt; .001 indicate that the p-value is below .001, not equal to zero.</w:t>
      </w:r>
      <w:r>
        <w:rPr>
          <w:rFonts w:hint="default" w:ascii="Times New Roman" w:hAnsi="Times New Roman" w:eastAsia="SimSun" w:cs="Times New Roman"/>
          <w:sz w:val="22"/>
          <w:szCs w:val="22"/>
        </w:rPr>
        <w:br w:type="textWrapping"/>
      </w:r>
    </w:p>
    <w:p w14:paraId="71BE3DC8">
      <w:pPr>
        <w:pStyle w:val="19"/>
        <w:keepNext w:val="0"/>
        <w:keepLines w:val="0"/>
        <w:widowControl/>
        <w:suppressLineNumbers w:val="0"/>
        <w:rPr>
          <w:rFonts w:hint="default" w:ascii="Times New Roman" w:hAnsi="Times New Roman" w:eastAsia="SimSun" w:cs="Times New Roman"/>
          <w:sz w:val="22"/>
          <w:szCs w:val="22"/>
        </w:rPr>
      </w:pPr>
    </w:p>
    <w:p w14:paraId="3381F5B7">
      <w:pPr>
        <w:pStyle w:val="19"/>
        <w:keepNext w:val="0"/>
        <w:keepLines w:val="0"/>
        <w:widowControl/>
        <w:suppressLineNumbers w:val="0"/>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rPr>
        <w:br w:type="textWrapping"/>
      </w:r>
      <w:r>
        <w:rPr>
          <w:rFonts w:hint="default" w:ascii="Times New Roman" w:hAnsi="Times New Roman" w:cs="Times New Roman"/>
          <w:sz w:val="22"/>
          <w:szCs w:val="22"/>
        </w:rPr>
        <w:t xml:space="preserve">Figure </w:t>
      </w:r>
      <w:r>
        <w:rPr>
          <w:rFonts w:hint="default" w:cs="Times New Roman"/>
          <w:sz w:val="22"/>
          <w:szCs w:val="22"/>
          <w:lang w:val="en-US"/>
        </w:rPr>
        <w:t>-4:</w:t>
      </w:r>
      <w:r>
        <w:rPr>
          <w:rFonts w:hint="default" w:ascii="Times New Roman" w:hAnsi="Times New Roman" w:cs="Times New Roman"/>
          <w:sz w:val="22"/>
          <w:szCs w:val="22"/>
        </w:rPr>
        <w:t xml:space="preserve"> Distribution of Objective Financial Literacy Scores Across Academic Disciplines.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lang w:val="en-US"/>
        </w:rPr>
        <w:drawing>
          <wp:inline distT="0" distB="0" distL="114300" distR="114300">
            <wp:extent cx="6323330" cy="3874135"/>
            <wp:effectExtent l="0" t="0" r="1270" b="12065"/>
            <wp:docPr id="6" name="Picture 6" descr="Figure_FL_by_Discip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igure_FL_by_Discipline"/>
                    <pic:cNvPicPr>
                      <a:picLocks noChangeAspect="1"/>
                    </pic:cNvPicPr>
                  </pic:nvPicPr>
                  <pic:blipFill>
                    <a:blip r:embed="rId10"/>
                    <a:stretch>
                      <a:fillRect/>
                    </a:stretch>
                  </pic:blipFill>
                  <pic:spPr>
                    <a:xfrm>
                      <a:off x="0" y="0"/>
                      <a:ext cx="6323330" cy="3874135"/>
                    </a:xfrm>
                    <a:prstGeom prst="rect">
                      <a:avLst/>
                    </a:prstGeom>
                  </pic:spPr>
                </pic:pic>
              </a:graphicData>
            </a:graphic>
          </wp:inline>
        </w:drawing>
      </w:r>
    </w:p>
    <w:p w14:paraId="4047AE1A">
      <w:pPr>
        <w:pStyle w:val="19"/>
        <w:keepNext w:val="0"/>
        <w:keepLines w:val="0"/>
        <w:widowControl/>
        <w:suppressLineNumbers w:val="0"/>
        <w:rPr>
          <w:rFonts w:hint="default" w:ascii="Times New Roman" w:hAnsi="Times New Roman" w:eastAsia="SimSun" w:cs="Times New Roman"/>
          <w:sz w:val="22"/>
          <w:szCs w:val="22"/>
        </w:rPr>
      </w:pPr>
    </w:p>
    <w:p w14:paraId="672B29C4">
      <w:pPr>
        <w:pStyle w:val="19"/>
        <w:keepNext w:val="0"/>
        <w:keepLines w:val="0"/>
        <w:widowControl/>
        <w:suppressLineNumbers w:val="0"/>
        <w:rPr>
          <w:rFonts w:hint="default" w:ascii="Times New Roman" w:hAnsi="Times New Roman" w:eastAsia="SimSun" w:cs="Times New Roman"/>
          <w:sz w:val="22"/>
          <w:szCs w:val="22"/>
        </w:rPr>
      </w:pPr>
      <w:r>
        <w:rPr>
          <w:rFonts w:hint="default" w:ascii="Times New Roman" w:hAnsi="Times New Roman" w:cs="Times New Roman"/>
          <w:sz w:val="22"/>
          <w:szCs w:val="22"/>
        </w:rPr>
        <w:t>Note. Bars represent the percentage distribution of financial literacy scores (0–5) within each discipline. Group sample sizes are shown below the category labels (n = 535 overall).</w:t>
      </w:r>
    </w:p>
    <w:p w14:paraId="6E4900B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Statistically significant differences were observed for all six outcomes after adjustment. The largest effect was found for financial literacy (H = 160.573, p &lt; .001, Holm-adjusted p &lt; .001, ε² = .297). The effects for FMB, ISB, SI, Q19, and FFO were substantially smaller (ε² = .010–.029), indicating that their statistically significant discipline differences were associated with relatively small effect sizes.</w:t>
      </w:r>
    </w:p>
    <w:p w14:paraId="61876DE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Pairwise Mann–Whitney U tests were then used to examine differences between discipline groups. Holm adjustment was applied within each outcome. Fourteen of the 36 pairwise comparisons were statistically significant at the adjusted .05 level. Financial literacy accounted for five significant comparisons, while FMB, ISB, SI, Q19, and FFO accounted for one, three, two, one, and two significant comparisons, respectively. The full pairwise results, including nonsignificant comparisons, are reported in the supplementary material.</w:t>
      </w:r>
    </w:p>
    <w:p w14:paraId="3A2D1BD8">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Within-discipline Spearman correlations between FL and each of FMB, ISB, SI, and FFO were also examined across the four groups. None of the 16 correlations remained statistically significant after Benjamini–Hochberg adjustment. These exploratory findings do not establish causal relationships and should be interpreted in light of the observational, cross-sectional design.</w:t>
      </w:r>
    </w:p>
    <w:p w14:paraId="6C0017BF">
      <w:pPr>
        <w:pStyle w:val="19"/>
        <w:keepNext w:val="0"/>
        <w:keepLines w:val="0"/>
        <w:widowControl/>
        <w:suppressLineNumbers w:val="0"/>
        <w:rPr>
          <w:rFonts w:hint="default" w:ascii="Times New Roman" w:hAnsi="Times New Roman" w:cs="Times New Roman"/>
          <w:sz w:val="22"/>
          <w:szCs w:val="22"/>
        </w:rPr>
      </w:pPr>
    </w:p>
    <w:p w14:paraId="75D199F2">
      <w:pPr>
        <w:pStyle w:val="4"/>
        <w:bidi w:val="0"/>
        <w:spacing w:before="0" w:after="140" w:line="276" w:lineRule="auto"/>
        <w:jc w:val="left"/>
        <w:rPr>
          <w:rFonts w:hint="default" w:ascii="Times New Roman" w:hAnsi="Times New Roman" w:cs="Times New Roman"/>
          <w:sz w:val="22"/>
          <w:szCs w:val="22"/>
        </w:rPr>
      </w:pPr>
    </w:p>
    <w:p w14:paraId="766EBE10">
      <w:pPr>
        <w:pStyle w:val="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4.6 Sensitivity Analysis</w:t>
      </w:r>
    </w:p>
    <w:p w14:paraId="5439C9FF">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Sensitivity analysis assessed the robustness of the findings after excluding one potentially duplicated response and two straight-lining responses. The alternative sample comprised 534 observations, compared with 537 in the primary analysis. These exclusions represent a robustness scenario rather than confirmation that the responses were invalid.</w:t>
      </w:r>
    </w:p>
    <w:p w14:paraId="3E9DEBEF">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estimated path coefficients changed minimally (maximum absolute difference = 0.007), and all seven paths retained their original directions and significance decisions. Six paths remained significant, whereas Financial Literacy → Future Financial Orientation remained nonsignificant.</w:t>
      </w:r>
    </w:p>
    <w:p w14:paraId="2E77482D">
      <w:pPr>
        <w:pStyle w:val="19"/>
        <w:keepNext w:val="0"/>
        <w:keepLines w:val="0"/>
        <w:widowControl/>
        <w:suppressLineNumbers w:val="0"/>
        <w:rPr>
          <w:rFonts w:hint="default" w:ascii="Times New Roman" w:hAnsi="Times New Roman" w:cs="Times New Roman"/>
          <w:sz w:val="22"/>
          <w:szCs w:val="22"/>
        </w:rPr>
      </w:pPr>
      <w:r>
        <w:rPr>
          <w:rStyle w:val="20"/>
          <w:rFonts w:hint="default" w:ascii="Times New Roman" w:hAnsi="Times New Roman" w:cs="Times New Roman"/>
          <w:sz w:val="22"/>
          <w:szCs w:val="22"/>
        </w:rPr>
        <w:t xml:space="preserve">Table </w:t>
      </w:r>
      <w:r>
        <w:rPr>
          <w:rStyle w:val="20"/>
          <w:rFonts w:hint="default" w:cs="Times New Roman"/>
          <w:sz w:val="22"/>
          <w:szCs w:val="22"/>
          <w:lang w:val="en-US"/>
        </w:rPr>
        <w:t xml:space="preserve">-10: </w:t>
      </w:r>
      <w:r>
        <w:rPr>
          <w:rStyle w:val="20"/>
          <w:rFonts w:hint="default" w:ascii="Times New Roman" w:hAnsi="Times New Roman" w:cs="Times New Roman"/>
          <w:sz w:val="22"/>
          <w:szCs w:val="22"/>
        </w:rPr>
        <w:t>Sensitivity Analysis of Structural Path Coefficients</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6"/>
        <w:gridCol w:w="1915"/>
        <w:gridCol w:w="2099"/>
        <w:gridCol w:w="695"/>
      </w:tblGrid>
      <w:tr w14:paraId="6A83D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A026FF">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color w:val="auto"/>
                <w:kern w:val="0"/>
                <w:sz w:val="22"/>
                <w:szCs w:val="22"/>
                <w:lang w:val="en-US" w:eastAsia="zh-CN" w:bidi="ar"/>
              </w:rPr>
              <w:t>Structural path</w:t>
            </w:r>
          </w:p>
        </w:tc>
        <w:tc>
          <w:tcPr>
            <w:tcW w:w="0" w:type="auto"/>
            <w:shd w:val="clear" w:color="auto" w:fill="auto"/>
            <w:vAlign w:val="center"/>
          </w:tcPr>
          <w:p w14:paraId="3502212B">
            <w:pPr>
              <w:keepNext w:val="0"/>
              <w:keepLines w:val="0"/>
              <w:widowControl/>
              <w:suppressLineNumbers w:val="0"/>
              <w:jc w:val="right"/>
              <w:rPr>
                <w:rFonts w:hint="default" w:ascii="Times New Roman" w:hAnsi="Times New Roman" w:cs="Times New Roman"/>
                <w:b/>
                <w:bCs/>
                <w:sz w:val="22"/>
                <w:szCs w:val="22"/>
              </w:rPr>
            </w:pPr>
            <w:r>
              <w:rPr>
                <w:rFonts w:hint="default" w:ascii="Times New Roman" w:hAnsi="Times New Roman" w:eastAsia="SimSun" w:cs="Times New Roman"/>
                <w:b/>
                <w:bCs/>
                <w:color w:val="auto"/>
                <w:kern w:val="0"/>
                <w:sz w:val="22"/>
                <w:szCs w:val="22"/>
                <w:lang w:val="en-US" w:eastAsia="zh-CN" w:bidi="ar"/>
              </w:rPr>
              <w:t>Primary β (n = 537)</w:t>
            </w:r>
          </w:p>
        </w:tc>
        <w:tc>
          <w:tcPr>
            <w:tcW w:w="0" w:type="auto"/>
            <w:shd w:val="clear" w:color="auto" w:fill="auto"/>
            <w:vAlign w:val="center"/>
          </w:tcPr>
          <w:p w14:paraId="5A539646">
            <w:pPr>
              <w:keepNext w:val="0"/>
              <w:keepLines w:val="0"/>
              <w:widowControl/>
              <w:suppressLineNumbers w:val="0"/>
              <w:jc w:val="right"/>
              <w:rPr>
                <w:rFonts w:hint="default" w:ascii="Times New Roman" w:hAnsi="Times New Roman" w:cs="Times New Roman"/>
                <w:b/>
                <w:bCs/>
                <w:sz w:val="22"/>
                <w:szCs w:val="22"/>
              </w:rPr>
            </w:pPr>
            <w:r>
              <w:rPr>
                <w:rFonts w:hint="default" w:ascii="Times New Roman" w:hAnsi="Times New Roman" w:eastAsia="SimSun" w:cs="Times New Roman"/>
                <w:b/>
                <w:bCs/>
                <w:color w:val="auto"/>
                <w:kern w:val="0"/>
                <w:sz w:val="22"/>
                <w:szCs w:val="22"/>
                <w:lang w:val="en-US" w:eastAsia="zh-CN" w:bidi="ar"/>
              </w:rPr>
              <w:t>Sensitivity β (n = 534)</w:t>
            </w:r>
          </w:p>
        </w:tc>
        <w:tc>
          <w:tcPr>
            <w:tcW w:w="0" w:type="auto"/>
            <w:shd w:val="clear" w:color="auto" w:fill="auto"/>
            <w:vAlign w:val="center"/>
          </w:tcPr>
          <w:p w14:paraId="03033151">
            <w:pPr>
              <w:keepNext w:val="0"/>
              <w:keepLines w:val="0"/>
              <w:widowControl/>
              <w:suppressLineNumbers w:val="0"/>
              <w:jc w:val="right"/>
              <w:rPr>
                <w:rFonts w:hint="default" w:ascii="Times New Roman" w:hAnsi="Times New Roman" w:cs="Times New Roman"/>
                <w:b/>
                <w:bCs/>
                <w:sz w:val="22"/>
                <w:szCs w:val="22"/>
              </w:rPr>
            </w:pPr>
            <w:r>
              <w:rPr>
                <w:rFonts w:hint="default" w:ascii="Times New Roman" w:hAnsi="Times New Roman" w:eastAsia="SimSun" w:cs="Times New Roman"/>
                <w:b/>
                <w:bCs/>
                <w:color w:val="auto"/>
                <w:kern w:val="0"/>
                <w:sz w:val="22"/>
                <w:szCs w:val="22"/>
                <w:lang w:val="en-US" w:eastAsia="zh-CN" w:bidi="ar"/>
              </w:rPr>
              <w:t>Δβ</w:t>
            </w:r>
          </w:p>
        </w:tc>
      </w:tr>
      <w:tr w14:paraId="7E4EF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69DCE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DFB → FMB</w:t>
            </w:r>
          </w:p>
        </w:tc>
        <w:tc>
          <w:tcPr>
            <w:tcW w:w="0" w:type="auto"/>
            <w:shd w:val="clear" w:color="auto" w:fill="auto"/>
            <w:vAlign w:val="center"/>
          </w:tcPr>
          <w:p w14:paraId="4D6AF352">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−0.216</w:t>
            </w:r>
          </w:p>
        </w:tc>
        <w:tc>
          <w:tcPr>
            <w:tcW w:w="0" w:type="auto"/>
            <w:shd w:val="clear" w:color="auto" w:fill="auto"/>
            <w:vAlign w:val="center"/>
          </w:tcPr>
          <w:p w14:paraId="29C16991">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−0.223</w:t>
            </w:r>
          </w:p>
        </w:tc>
        <w:tc>
          <w:tcPr>
            <w:tcW w:w="0" w:type="auto"/>
            <w:shd w:val="clear" w:color="auto" w:fill="auto"/>
            <w:vAlign w:val="center"/>
          </w:tcPr>
          <w:p w14:paraId="645838AB">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−0.007</w:t>
            </w:r>
          </w:p>
        </w:tc>
      </w:tr>
      <w:tr w14:paraId="23557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321B0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DFB → ISB</w:t>
            </w:r>
          </w:p>
        </w:tc>
        <w:tc>
          <w:tcPr>
            <w:tcW w:w="0" w:type="auto"/>
            <w:shd w:val="clear" w:color="auto" w:fill="auto"/>
            <w:vAlign w:val="center"/>
          </w:tcPr>
          <w:p w14:paraId="6130E4C0">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0.292</w:t>
            </w:r>
          </w:p>
        </w:tc>
        <w:tc>
          <w:tcPr>
            <w:tcW w:w="0" w:type="auto"/>
            <w:shd w:val="clear" w:color="auto" w:fill="auto"/>
            <w:vAlign w:val="center"/>
          </w:tcPr>
          <w:p w14:paraId="2D58D84A">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0.293</w:t>
            </w:r>
          </w:p>
        </w:tc>
        <w:tc>
          <w:tcPr>
            <w:tcW w:w="0" w:type="auto"/>
            <w:shd w:val="clear" w:color="auto" w:fill="auto"/>
            <w:vAlign w:val="center"/>
          </w:tcPr>
          <w:p w14:paraId="131F383B">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0.001</w:t>
            </w:r>
          </w:p>
        </w:tc>
      </w:tr>
      <w:tr w14:paraId="7E0A6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C742D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FL → FMB</w:t>
            </w:r>
          </w:p>
        </w:tc>
        <w:tc>
          <w:tcPr>
            <w:tcW w:w="0" w:type="auto"/>
            <w:shd w:val="clear" w:color="auto" w:fill="auto"/>
            <w:vAlign w:val="center"/>
          </w:tcPr>
          <w:p w14:paraId="024FE522">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0.111</w:t>
            </w:r>
          </w:p>
        </w:tc>
        <w:tc>
          <w:tcPr>
            <w:tcW w:w="0" w:type="auto"/>
            <w:shd w:val="clear" w:color="auto" w:fill="auto"/>
            <w:vAlign w:val="center"/>
          </w:tcPr>
          <w:p w14:paraId="1A1C4939">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0.117</w:t>
            </w:r>
          </w:p>
        </w:tc>
        <w:tc>
          <w:tcPr>
            <w:tcW w:w="0" w:type="auto"/>
            <w:shd w:val="clear" w:color="auto" w:fill="auto"/>
            <w:vAlign w:val="center"/>
          </w:tcPr>
          <w:p w14:paraId="40965B5B">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0.006</w:t>
            </w:r>
          </w:p>
        </w:tc>
      </w:tr>
      <w:tr w14:paraId="2E8E2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6E73E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FL → FFO</w:t>
            </w:r>
          </w:p>
        </w:tc>
        <w:tc>
          <w:tcPr>
            <w:tcW w:w="0" w:type="auto"/>
            <w:shd w:val="clear" w:color="auto" w:fill="auto"/>
            <w:vAlign w:val="center"/>
          </w:tcPr>
          <w:p w14:paraId="6A23CAF2">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0.046</w:t>
            </w:r>
          </w:p>
        </w:tc>
        <w:tc>
          <w:tcPr>
            <w:tcW w:w="0" w:type="auto"/>
            <w:shd w:val="clear" w:color="auto" w:fill="auto"/>
            <w:vAlign w:val="center"/>
          </w:tcPr>
          <w:p w14:paraId="6E832EB1">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0.049</w:t>
            </w:r>
          </w:p>
        </w:tc>
        <w:tc>
          <w:tcPr>
            <w:tcW w:w="0" w:type="auto"/>
            <w:shd w:val="clear" w:color="auto" w:fill="auto"/>
            <w:vAlign w:val="center"/>
          </w:tcPr>
          <w:p w14:paraId="3DC4BDC3">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0.003</w:t>
            </w:r>
          </w:p>
        </w:tc>
      </w:tr>
      <w:tr w14:paraId="65582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2CE6A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FMB → FFO</w:t>
            </w:r>
          </w:p>
        </w:tc>
        <w:tc>
          <w:tcPr>
            <w:tcW w:w="0" w:type="auto"/>
            <w:shd w:val="clear" w:color="auto" w:fill="auto"/>
            <w:vAlign w:val="center"/>
          </w:tcPr>
          <w:p w14:paraId="588487EF">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0.568</w:t>
            </w:r>
          </w:p>
        </w:tc>
        <w:tc>
          <w:tcPr>
            <w:tcW w:w="0" w:type="auto"/>
            <w:shd w:val="clear" w:color="auto" w:fill="auto"/>
            <w:vAlign w:val="center"/>
          </w:tcPr>
          <w:p w14:paraId="6DEF6598">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0.568</w:t>
            </w:r>
          </w:p>
        </w:tc>
        <w:tc>
          <w:tcPr>
            <w:tcW w:w="0" w:type="auto"/>
            <w:shd w:val="clear" w:color="auto" w:fill="auto"/>
            <w:vAlign w:val="center"/>
          </w:tcPr>
          <w:p w14:paraId="20E95DCC">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0.000</w:t>
            </w:r>
          </w:p>
        </w:tc>
      </w:tr>
      <w:tr w14:paraId="0623D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29127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ISB → FFO</w:t>
            </w:r>
          </w:p>
        </w:tc>
        <w:tc>
          <w:tcPr>
            <w:tcW w:w="0" w:type="auto"/>
            <w:shd w:val="clear" w:color="auto" w:fill="auto"/>
            <w:vAlign w:val="center"/>
          </w:tcPr>
          <w:p w14:paraId="140B7E4E">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−0.167</w:t>
            </w:r>
          </w:p>
        </w:tc>
        <w:tc>
          <w:tcPr>
            <w:tcW w:w="0" w:type="auto"/>
            <w:shd w:val="clear" w:color="auto" w:fill="auto"/>
            <w:vAlign w:val="center"/>
          </w:tcPr>
          <w:p w14:paraId="28A25AC8">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−0.165</w:t>
            </w:r>
          </w:p>
        </w:tc>
        <w:tc>
          <w:tcPr>
            <w:tcW w:w="0" w:type="auto"/>
            <w:shd w:val="clear" w:color="auto" w:fill="auto"/>
            <w:vAlign w:val="center"/>
          </w:tcPr>
          <w:p w14:paraId="4A5A8659">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0.002</w:t>
            </w:r>
          </w:p>
        </w:tc>
      </w:tr>
      <w:tr w14:paraId="4F610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A5B76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SI → ISB</w:t>
            </w:r>
          </w:p>
        </w:tc>
        <w:tc>
          <w:tcPr>
            <w:tcW w:w="0" w:type="auto"/>
            <w:shd w:val="clear" w:color="auto" w:fill="auto"/>
            <w:vAlign w:val="center"/>
          </w:tcPr>
          <w:p w14:paraId="0691CD97">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0.439</w:t>
            </w:r>
          </w:p>
        </w:tc>
        <w:tc>
          <w:tcPr>
            <w:tcW w:w="0" w:type="auto"/>
            <w:shd w:val="clear" w:color="auto" w:fill="auto"/>
            <w:vAlign w:val="center"/>
          </w:tcPr>
          <w:p w14:paraId="34907A6E">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0.438</w:t>
            </w:r>
          </w:p>
        </w:tc>
        <w:tc>
          <w:tcPr>
            <w:tcW w:w="0" w:type="auto"/>
            <w:shd w:val="clear" w:color="auto" w:fill="auto"/>
            <w:vAlign w:val="center"/>
          </w:tcPr>
          <w:p w14:paraId="50C1ED36">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−0.001</w:t>
            </w:r>
          </w:p>
        </w:tc>
      </w:tr>
    </w:tbl>
    <w:p w14:paraId="6C759080">
      <w:pPr>
        <w:pStyle w:val="19"/>
        <w:keepNext w:val="0"/>
        <w:keepLines w:val="0"/>
        <w:widowControl/>
        <w:suppressLineNumbers w:val="0"/>
        <w:rPr>
          <w:rFonts w:hint="default" w:ascii="Times New Roman" w:hAnsi="Times New Roman" w:cs="Times New Roman"/>
          <w:sz w:val="22"/>
          <w:szCs w:val="22"/>
        </w:rPr>
      </w:pPr>
      <w:r>
        <w:rPr>
          <w:rStyle w:val="11"/>
          <w:rFonts w:hint="default" w:ascii="Times New Roman" w:hAnsi="Times New Roman" w:cs="Times New Roman"/>
          <w:sz w:val="22"/>
          <w:szCs w:val="22"/>
        </w:rPr>
        <w:t>Note.</w:t>
      </w:r>
      <w:r>
        <w:rPr>
          <w:rFonts w:hint="default" w:ascii="Times New Roman" w:hAnsi="Times New Roman" w:cs="Times New Roman"/>
          <w:sz w:val="22"/>
          <w:szCs w:val="22"/>
        </w:rPr>
        <w:t xml:space="preserve"> Δβ = β (n = 534) − β (n = 537). Differences are calculated from the displayed coefficients, rounded to three decimal places.</w:t>
      </w:r>
    </w:p>
    <w:p w14:paraId="3DCA8682">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coefficients of determination were also similar: FMB R² increased from 0.053 to 0.057, while ISB R² and FFO R² remained approximately 0.365 and 0.413, respectively. Overall, the results indicate that the direct structural findings were robust to the specified sample exclusions, although measurement and model-fit limitations remain.</w:t>
      </w:r>
    </w:p>
    <w:p w14:paraId="2DA3AB66">
      <w:pPr>
        <w:pStyle w:val="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4.7 Out-of-Sample Predictive Assessment</w:t>
      </w:r>
    </w:p>
    <w:p w14:paraId="39AA77C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Out-of-sample predictive performance was assessed using PLSpredict and the cross-validated predictive ability test (CVPAT).</w:t>
      </w:r>
    </w:p>
    <w:p w14:paraId="458A714E">
      <w:pPr>
        <w:pStyle w:val="19"/>
        <w:keepNext w:val="0"/>
        <w:keepLines w:val="0"/>
        <w:widowControl/>
        <w:suppressLineNumbers w:val="0"/>
        <w:rPr>
          <w:rFonts w:hint="default" w:ascii="Times New Roman" w:hAnsi="Times New Roman" w:cs="Times New Roman"/>
          <w:sz w:val="22"/>
          <w:szCs w:val="22"/>
        </w:rPr>
      </w:pPr>
      <w:r>
        <w:rPr>
          <w:rStyle w:val="20"/>
          <w:rFonts w:hint="default" w:ascii="Times New Roman" w:hAnsi="Times New Roman" w:cs="Times New Roman"/>
          <w:sz w:val="22"/>
          <w:szCs w:val="22"/>
        </w:rPr>
        <w:t xml:space="preserve">Table </w:t>
      </w:r>
      <w:r>
        <w:rPr>
          <w:rStyle w:val="20"/>
          <w:rFonts w:hint="default" w:cs="Times New Roman"/>
          <w:sz w:val="22"/>
          <w:szCs w:val="22"/>
          <w:lang w:val="en-US"/>
        </w:rPr>
        <w:t xml:space="preserve">-11: </w:t>
      </w:r>
      <w:r>
        <w:rPr>
          <w:rStyle w:val="20"/>
          <w:rFonts w:hint="default" w:ascii="Times New Roman" w:hAnsi="Times New Roman" w:cs="Times New Roman"/>
          <w:sz w:val="22"/>
          <w:szCs w:val="22"/>
        </w:rPr>
        <w:t>Summary of Predictive Assessment</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06"/>
        <w:gridCol w:w="4065"/>
        <w:gridCol w:w="3427"/>
      </w:tblGrid>
      <w:tr w14:paraId="5E27F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C66946">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color w:val="auto"/>
                <w:kern w:val="0"/>
                <w:sz w:val="22"/>
                <w:szCs w:val="22"/>
                <w:lang w:val="en-US" w:eastAsia="zh-CN" w:bidi="ar"/>
              </w:rPr>
              <w:t>Assessment</w:t>
            </w:r>
          </w:p>
        </w:tc>
        <w:tc>
          <w:tcPr>
            <w:tcW w:w="0" w:type="auto"/>
            <w:shd w:val="clear" w:color="auto" w:fill="auto"/>
            <w:vAlign w:val="center"/>
          </w:tcPr>
          <w:p w14:paraId="7946FC60">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color w:val="auto"/>
                <w:kern w:val="0"/>
                <w:sz w:val="22"/>
                <w:szCs w:val="22"/>
                <w:lang w:val="en-US" w:eastAsia="zh-CN" w:bidi="ar"/>
              </w:rPr>
              <w:t>Result</w:t>
            </w:r>
          </w:p>
        </w:tc>
        <w:tc>
          <w:tcPr>
            <w:tcW w:w="0" w:type="auto"/>
            <w:shd w:val="clear" w:color="auto" w:fill="auto"/>
            <w:vAlign w:val="center"/>
          </w:tcPr>
          <w:p w14:paraId="372BE93E">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color w:val="auto"/>
                <w:kern w:val="0"/>
                <w:sz w:val="22"/>
                <w:szCs w:val="22"/>
                <w:lang w:val="en-US" w:eastAsia="zh-CN" w:bidi="ar"/>
              </w:rPr>
              <w:t>Interpretation</w:t>
            </w:r>
          </w:p>
        </w:tc>
      </w:tr>
      <w:tr w14:paraId="71387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41A5F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Latent-variable Q²_predict</w:t>
            </w:r>
          </w:p>
        </w:tc>
        <w:tc>
          <w:tcPr>
            <w:tcW w:w="0" w:type="auto"/>
            <w:shd w:val="clear" w:color="auto" w:fill="auto"/>
            <w:vAlign w:val="center"/>
          </w:tcPr>
          <w:p w14:paraId="6C60E4F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FMB = 0.045; ISB = 0.357; FFO = 0.062</w:t>
            </w:r>
          </w:p>
        </w:tc>
        <w:tc>
          <w:tcPr>
            <w:tcW w:w="0" w:type="auto"/>
            <w:shd w:val="clear" w:color="auto" w:fill="auto"/>
            <w:vAlign w:val="center"/>
          </w:tcPr>
          <w:p w14:paraId="5BF746C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Positive predictive relevance</w:t>
            </w:r>
          </w:p>
        </w:tc>
      </w:tr>
      <w:tr w14:paraId="30666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2D0C7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Indicator-level Q²_predict</w:t>
            </w:r>
          </w:p>
        </w:tc>
        <w:tc>
          <w:tcPr>
            <w:tcW w:w="0" w:type="auto"/>
            <w:shd w:val="clear" w:color="auto" w:fill="auto"/>
            <w:vAlign w:val="center"/>
          </w:tcPr>
          <w:p w14:paraId="5217852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Positive for all seven endogenous indicators</w:t>
            </w:r>
          </w:p>
        </w:tc>
        <w:tc>
          <w:tcPr>
            <w:tcW w:w="0" w:type="auto"/>
            <w:shd w:val="clear" w:color="auto" w:fill="auto"/>
            <w:vAlign w:val="center"/>
          </w:tcPr>
          <w:p w14:paraId="433DEA8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Predictive relevance against the naive benchmark</w:t>
            </w:r>
          </w:p>
        </w:tc>
      </w:tr>
      <w:tr w14:paraId="33213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ACB22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RMSE comparison</w:t>
            </w:r>
          </w:p>
        </w:tc>
        <w:tc>
          <w:tcPr>
            <w:tcW w:w="0" w:type="auto"/>
            <w:shd w:val="clear" w:color="auto" w:fill="auto"/>
            <w:vAlign w:val="center"/>
          </w:tcPr>
          <w:p w14:paraId="2E7D413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PLS-SEM outperformed the linear model on 2 of 7 indicators</w:t>
            </w:r>
          </w:p>
        </w:tc>
        <w:tc>
          <w:tcPr>
            <w:tcW w:w="0" w:type="auto"/>
            <w:shd w:val="clear" w:color="auto" w:fill="auto"/>
            <w:vAlign w:val="center"/>
          </w:tcPr>
          <w:p w14:paraId="5798A51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Limited relative predictive performance</w:t>
            </w:r>
          </w:p>
        </w:tc>
      </w:tr>
      <w:tr w14:paraId="0BC31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EA2C8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MAE comparison</w:t>
            </w:r>
          </w:p>
        </w:tc>
        <w:tc>
          <w:tcPr>
            <w:tcW w:w="0" w:type="auto"/>
            <w:shd w:val="clear" w:color="auto" w:fill="auto"/>
            <w:vAlign w:val="center"/>
          </w:tcPr>
          <w:p w14:paraId="4D2574B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PLS-SEM outperformed the linear model on 0 of 7 indicators</w:t>
            </w:r>
          </w:p>
        </w:tc>
        <w:tc>
          <w:tcPr>
            <w:tcW w:w="0" w:type="auto"/>
            <w:shd w:val="clear" w:color="auto" w:fill="auto"/>
            <w:vAlign w:val="center"/>
          </w:tcPr>
          <w:p w14:paraId="042482C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No indicator-level advantage</w:t>
            </w:r>
          </w:p>
        </w:tc>
      </w:tr>
      <w:tr w14:paraId="2B133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F45E82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CVPAT: indicator-average benchmark</w:t>
            </w:r>
          </w:p>
        </w:tc>
        <w:tc>
          <w:tcPr>
            <w:tcW w:w="0" w:type="auto"/>
            <w:shd w:val="clear" w:color="auto" w:fill="auto"/>
            <w:vAlign w:val="center"/>
          </w:tcPr>
          <w:p w14:paraId="11F47E8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Loss: PLS-SEM = 1.274; benchmark = 1.467; p &lt; 0.001</w:t>
            </w:r>
          </w:p>
        </w:tc>
        <w:tc>
          <w:tcPr>
            <w:tcW w:w="0" w:type="auto"/>
            <w:shd w:val="clear" w:color="auto" w:fill="auto"/>
            <w:vAlign w:val="center"/>
          </w:tcPr>
          <w:p w14:paraId="406391F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PLS-SEM performed significantly better</w:t>
            </w:r>
          </w:p>
        </w:tc>
      </w:tr>
      <w:tr w14:paraId="1A254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F078DF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CVPAT: linear-model benchmark</w:t>
            </w:r>
          </w:p>
        </w:tc>
        <w:tc>
          <w:tcPr>
            <w:tcW w:w="0" w:type="auto"/>
            <w:shd w:val="clear" w:color="auto" w:fill="auto"/>
            <w:vAlign w:val="center"/>
          </w:tcPr>
          <w:p w14:paraId="20A15B8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Loss: PLS-SEM = 1.274; linear model = 1.225; p = 0.001</w:t>
            </w:r>
          </w:p>
        </w:tc>
        <w:tc>
          <w:tcPr>
            <w:tcW w:w="0" w:type="auto"/>
            <w:shd w:val="clear" w:color="auto" w:fill="auto"/>
            <w:vAlign w:val="center"/>
          </w:tcPr>
          <w:p w14:paraId="19DAF4F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Linear model performed significantly better</w:t>
            </w:r>
          </w:p>
        </w:tc>
      </w:tr>
    </w:tbl>
    <w:p w14:paraId="2F5E243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At the latent-variable level, the linear model significantly outperformed PLS-SEM for FMB (p = 0.003) and FFO (p = 0.030), whereas the difference for ISB was nonsignificant (p = 0.123). Overall, the model demonstrated predictive relevance but did not establish superior predictive performance over the linear-model benchmark.</w:t>
      </w:r>
    </w:p>
    <w:p w14:paraId="441BA641">
      <w:pPr>
        <w:pStyle w:val="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4.8 Model Fit Assessment</w:t>
      </w:r>
    </w:p>
    <w:p w14:paraId="2F699F0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Model fit was assessed using the standardized root mean square residual (SRMR) under the mixed and composite-only specifications.</w:t>
      </w:r>
    </w:p>
    <w:p w14:paraId="624F7577">
      <w:pPr>
        <w:pStyle w:val="19"/>
        <w:keepNext w:val="0"/>
        <w:keepLines w:val="0"/>
        <w:widowControl/>
        <w:suppressLineNumbers w:val="0"/>
        <w:rPr>
          <w:rFonts w:hint="default" w:ascii="Times New Roman" w:hAnsi="Times New Roman" w:cs="Times New Roman"/>
          <w:b w:val="0"/>
          <w:bCs w:val="0"/>
          <w:sz w:val="22"/>
          <w:szCs w:val="22"/>
        </w:rPr>
      </w:pPr>
      <w:r>
        <w:rPr>
          <w:rStyle w:val="20"/>
          <w:rFonts w:hint="default" w:ascii="Times New Roman" w:hAnsi="Times New Roman" w:cs="Times New Roman"/>
          <w:b w:val="0"/>
          <w:bCs w:val="0"/>
          <w:sz w:val="22"/>
          <w:szCs w:val="22"/>
        </w:rPr>
        <w:t xml:space="preserve">Table </w:t>
      </w:r>
      <w:r>
        <w:rPr>
          <w:rStyle w:val="20"/>
          <w:rFonts w:hint="default" w:cs="Times New Roman"/>
          <w:b w:val="0"/>
          <w:bCs w:val="0"/>
          <w:sz w:val="22"/>
          <w:szCs w:val="22"/>
          <w:lang w:val="en-US"/>
        </w:rPr>
        <w:t xml:space="preserve">-12: </w:t>
      </w:r>
      <w:r>
        <w:rPr>
          <w:rStyle w:val="20"/>
          <w:rFonts w:hint="default" w:ascii="Times New Roman" w:hAnsi="Times New Roman" w:cs="Times New Roman"/>
          <w:b w:val="0"/>
          <w:bCs w:val="0"/>
          <w:sz w:val="22"/>
          <w:szCs w:val="22"/>
        </w:rPr>
        <w:t>SRMR Model-Fit Diagnostics</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68"/>
        <w:gridCol w:w="2322"/>
        <w:gridCol w:w="2361"/>
      </w:tblGrid>
      <w:tr w14:paraId="3233D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27AD33">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color w:val="auto"/>
                <w:kern w:val="0"/>
                <w:sz w:val="22"/>
                <w:szCs w:val="22"/>
                <w:lang w:val="en-US" w:eastAsia="zh-CN" w:bidi="ar"/>
              </w:rPr>
              <w:t>Model specification</w:t>
            </w:r>
          </w:p>
        </w:tc>
        <w:tc>
          <w:tcPr>
            <w:tcW w:w="0" w:type="auto"/>
            <w:shd w:val="clear" w:color="auto" w:fill="auto"/>
            <w:vAlign w:val="center"/>
          </w:tcPr>
          <w:p w14:paraId="6C5BE3D9">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color w:val="auto"/>
                <w:kern w:val="0"/>
                <w:sz w:val="22"/>
                <w:szCs w:val="22"/>
                <w:lang w:val="en-US" w:eastAsia="zh-CN" w:bidi="ar"/>
              </w:rPr>
              <w:t>Saturated model SRMR</w:t>
            </w:r>
          </w:p>
        </w:tc>
        <w:tc>
          <w:tcPr>
            <w:tcW w:w="0" w:type="auto"/>
            <w:shd w:val="clear" w:color="auto" w:fill="auto"/>
            <w:vAlign w:val="center"/>
          </w:tcPr>
          <w:p w14:paraId="4E82A29C">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color w:val="auto"/>
                <w:kern w:val="0"/>
                <w:sz w:val="22"/>
                <w:szCs w:val="22"/>
                <w:lang w:val="en-US" w:eastAsia="zh-CN" w:bidi="ar"/>
              </w:rPr>
              <w:t>Estimated model SRMR</w:t>
            </w:r>
          </w:p>
        </w:tc>
      </w:tr>
      <w:tr w14:paraId="514E7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A1038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Mixed (factors and composites)</w:t>
            </w:r>
          </w:p>
        </w:tc>
        <w:tc>
          <w:tcPr>
            <w:tcW w:w="0" w:type="auto"/>
            <w:shd w:val="clear" w:color="auto" w:fill="auto"/>
            <w:vAlign w:val="center"/>
          </w:tcPr>
          <w:p w14:paraId="357EBF1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0.072</w:t>
            </w:r>
          </w:p>
        </w:tc>
        <w:tc>
          <w:tcPr>
            <w:tcW w:w="0" w:type="auto"/>
            <w:shd w:val="clear" w:color="auto" w:fill="auto"/>
            <w:vAlign w:val="center"/>
          </w:tcPr>
          <w:p w14:paraId="692E8C2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0.102</w:t>
            </w:r>
          </w:p>
        </w:tc>
      </w:tr>
      <w:tr w14:paraId="38CF0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4095B9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Composite-only</w:t>
            </w:r>
          </w:p>
        </w:tc>
        <w:tc>
          <w:tcPr>
            <w:tcW w:w="0" w:type="auto"/>
            <w:shd w:val="clear" w:color="auto" w:fill="auto"/>
            <w:vAlign w:val="center"/>
          </w:tcPr>
          <w:p w14:paraId="372A058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0.049</w:t>
            </w:r>
          </w:p>
        </w:tc>
        <w:tc>
          <w:tcPr>
            <w:tcW w:w="0" w:type="auto"/>
            <w:shd w:val="clear" w:color="auto" w:fill="auto"/>
            <w:vAlign w:val="center"/>
          </w:tcPr>
          <w:p w14:paraId="4E91DB8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auto"/>
                <w:kern w:val="0"/>
                <w:sz w:val="22"/>
                <w:szCs w:val="22"/>
                <w:lang w:val="en-US" w:eastAsia="zh-CN" w:bidi="ar"/>
              </w:rPr>
              <w:t>0.088</w:t>
            </w:r>
          </w:p>
        </w:tc>
      </w:tr>
    </w:tbl>
    <w:p w14:paraId="0541C088">
      <w:pPr>
        <w:pStyle w:val="19"/>
        <w:keepNext w:val="0"/>
        <w:keepLines w:val="0"/>
        <w:widowControl/>
        <w:suppressLineNumbers w:val="0"/>
        <w:rPr>
          <w:rFonts w:hint="default" w:ascii="Times New Roman" w:hAnsi="Times New Roman" w:cs="Times New Roman"/>
          <w:sz w:val="22"/>
          <w:szCs w:val="22"/>
        </w:rPr>
      </w:pPr>
      <w:r>
        <w:rPr>
          <w:rStyle w:val="11"/>
          <w:rFonts w:hint="default" w:ascii="Times New Roman" w:hAnsi="Times New Roman" w:cs="Times New Roman"/>
          <w:sz w:val="22"/>
          <w:szCs w:val="22"/>
        </w:rPr>
        <w:t>Note.</w:t>
      </w:r>
      <w:r>
        <w:rPr>
          <w:rFonts w:hint="default" w:ascii="Times New Roman" w:hAnsi="Times New Roman" w:cs="Times New Roman"/>
          <w:sz w:val="22"/>
          <w:szCs w:val="22"/>
        </w:rPr>
        <w:t xml:space="preserve"> Values are based on the primary analysis (n = 537).</w:t>
      </w:r>
    </w:p>
    <w:p w14:paraId="3A1A46E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Both saturated-model SRMR values were below the commonly used 0.08 guideline, whereas both estimated-model values exceeded it. These results indicate specification-dependent model fit; SRMR should be interpreted alongside the structural and predictive results rather than as standalone evidence of overall model adequacy.</w:t>
      </w:r>
    </w:p>
    <w:p w14:paraId="74CB0857">
      <w:pPr>
        <w:pStyle w:val="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b/>
          <w:bCs/>
          <w:sz w:val="22"/>
          <w:szCs w:val="22"/>
        </w:rPr>
        <w:br w:type="textWrapping"/>
      </w:r>
      <w:r>
        <w:rPr>
          <w:rFonts w:hint="default" w:ascii="Times New Roman" w:hAnsi="Times New Roman" w:cs="Times New Roman"/>
          <w:sz w:val="22"/>
          <w:szCs w:val="22"/>
        </w:rPr>
        <w:t>5. DISCUSSION, CONTRIBUTIONS, AND IMPLICATIONS</w:t>
      </w:r>
    </w:p>
    <w:p w14:paraId="0A986FCA">
      <w:pPr>
        <w:pStyle w:val="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5.1 Discussion of Principal Findings</w:t>
      </w:r>
    </w:p>
    <w:p w14:paraId="39DF56F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This study examined the relationships among financial literacy (FL), digital financial behavior (DFB), financial management behavior (FMB), impulsive spending behavior (ISB), social influence (SI), and future financial orientation (FFO) among higher-education students in Bangladesh. Of the seven hypothesized direct relationships, five were supported in the proposed directions, one was significant in the opposite direction, and one was statistically </w:t>
      </w:r>
      <w:r>
        <w:rPr>
          <w:rFonts w:hint="default" w:ascii="Times New Roman" w:hAnsi="Times New Roman" w:cs="Times New Roman"/>
          <w:sz w:val="22"/>
          <w:szCs w:val="22"/>
          <w:lang w:val="en-US"/>
        </w:rPr>
        <w:t>non significant</w:t>
      </w:r>
      <w:r>
        <w:rPr>
          <w:rFonts w:hint="default" w:ascii="Times New Roman" w:hAnsi="Times New Roman" w:cs="Times New Roman"/>
          <w:sz w:val="22"/>
          <w:szCs w:val="22"/>
        </w:rPr>
        <w:t>.</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Six of the seven hypothesized direct relationships were statistically significant, and all four specified indirect associations were significant.</w:t>
      </w:r>
    </w:p>
    <w:p w14:paraId="1F8A6BE3">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Financial literacy was positively associated with financial management behavior (β = 0.111, p = 0.008), although the effect was small. Its direct association with future financial orientation was </w:t>
      </w:r>
      <w:r>
        <w:rPr>
          <w:rFonts w:hint="default" w:ascii="Times New Roman" w:hAnsi="Times New Roman" w:cs="Times New Roman"/>
          <w:sz w:val="22"/>
          <w:szCs w:val="22"/>
          <w:lang w:val="en-US"/>
        </w:rPr>
        <w:t>non significant</w:t>
      </w:r>
      <w:r>
        <w:rPr>
          <w:rFonts w:hint="default" w:ascii="Times New Roman" w:hAnsi="Times New Roman" w:cs="Times New Roman"/>
          <w:sz w:val="22"/>
          <w:szCs w:val="22"/>
        </w:rPr>
        <w:t xml:space="preserve"> (β = 0.046, p = 0.162). This distinction suggests that objective financial knowledge and future-oriented financial preferences are not interchangeable. The positive indirect association through financial management behavior (β = 0.063, p = 0.009) further indicates that financial practices may be relevant to the relationship between knowledge and future orientation. These findings are consistent with the broader distinction between financial knowledge and its practical application (Lusardi &amp; Mitchell, 2014), but the cross-sectional design does not establish a causal mechanism.</w:t>
      </w:r>
    </w:p>
    <w:p w14:paraId="170BCDD5">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Digital financial behavior was negatively associated with financial management behavior (β = −0.216, p &lt; 0.001) and positively associated with impulsive spending behavior (β = 0.292, p &lt; 0.001). These contrasting relationships warrant careful interpretation. The findings do not imply that digital financial services inherently weaken financial management; rather, the observed associations may reflect transaction convenience, spending habits, or unmeasured characteristics. Potential conceptual overlap between the DFB and ISB measures also limits stronger conclusions.</w:t>
      </w:r>
    </w:p>
    <w:p w14:paraId="792FF00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Financial management behavior had the strongest direct association with future financial orientation (β = 0.568, p &lt; 0.001), whereas impulsive spending was negatively associated with it (β = −0.167, p &lt; 0.001). Social influence was positively associated with impulsive spending (β = 0.439, p &lt; 0.001). Together, these results highlight the relevance of reported financial practices and spending tendencies to students’ stated future financial preferences. However, FMB explained only 5.3% of its endogenous variance, and FFO was measured using a single item; these limitations constrain interpretation.</w:t>
      </w:r>
    </w:p>
    <w:p w14:paraId="6E5ADD4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All four specified indirect associations were significant, with bootstrap confidence intervals excluding zero. Nevertheless, these estimates represent indirect statistical associations rather than evidence of causal mediation.</w:t>
      </w:r>
    </w:p>
    <w:p w14:paraId="23D9240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supplementary analyses revealed substantial differences in objective financial-literacy scores across academic disciplines (H(3) = 160.573, Holm-adjusted p &lt; 0.001, ε² = 0.297), whereas behavioral differences were comparatively small. None of the 16 within-discipline correlations between financial literacy and the examined behavioral or orientation measures was statistically significant. These results caution against assuming that group-level differences in financial knowledge translate directly into individual-level behavioral associations.</w:t>
      </w:r>
    </w:p>
    <w:p w14:paraId="00FEE29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Finally, sensitivity analysis indicated that the principal structural estimates were stable under the specified exclusion scenario. However, predictive assessment was mixed: although the model demonstrated predictive relevance against a simple benchmark, it did not outperform the linear model in overall predictive performance. Estimated-model SRMR values also exceeded the commonly used 0.08 guideline. The findings therefore support several stable associations, but not uniformly strong explanatory or predictive performance.</w:t>
      </w:r>
    </w:p>
    <w:p w14:paraId="68B607CD">
      <w:pPr>
        <w:pStyle w:val="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5.2 Theoretical Contributions</w:t>
      </w:r>
    </w:p>
    <w:p w14:paraId="1E10D0C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This study offers three context-specific contributions. First, it distinguishes objective financial knowledge from reported financial-management practices and future-oriented preferences, demonstrating that their relationships should not be assumed to be uniform. Second, the contrasting associations of digital financial behavior with financial management and impulsive spending highlight the need to distinguish digital transaction-related behavior from broader financial competence. Third, the significant indirect associations identify financial management and impulsive spending as relevant pathways for further investigation within models of future financial orientation. These contributions extend empirical understanding in the surveyed context rather than establish a new behavioral theory.</w:t>
      </w:r>
    </w:p>
    <w:p w14:paraId="4DD80424">
      <w:pPr>
        <w:pStyle w:val="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5.3 Practical Implications</w:t>
      </w:r>
    </w:p>
    <w:p w14:paraId="30E8B1E8">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Higher-education institutions could strengthen practical financial education by combining foundational financial knowledge with budgeting, expenditure monitoring, saving, and informed digital-payment use. The observed discipline-wise differences may help inform further assessment of students’ learning needs, although they do not establish that academic curricula caused those differences.</w:t>
      </w:r>
    </w:p>
    <w:p w14:paraId="264785CF">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Digital financial service providers could consider optional spending summaries, transaction notifications, and accessible budgeting tools to support informed financial decisions. Student-focused initiatives could also address promotional spending and impulsive purchasing. These recommendations are potential applications of the findings; their effectiveness was not tested in this study.</w:t>
      </w:r>
    </w:p>
    <w:p w14:paraId="735438D3">
      <w:pPr>
        <w:pStyle w:val="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5.4 Limitations and Future Research</w:t>
      </w:r>
    </w:p>
    <w:p w14:paraId="021E28E2">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study is limited by non-probability sampling, its cross-sectional design, reliance on self-reported behavioral measures, potential overlap between DFB and ISB indicators, and the single-item measurement of FFO. The questionnaire was not subjected to a formal pre-study pilot test or structured expert content-validity assessment. Moreover, discipline-wise analyses were exploratory, and no PLS-SEM multigroup analysis was conducted.</w:t>
      </w:r>
    </w:p>
    <w:p w14:paraId="2B4381E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Future research should use more representative sampling, longitudinal designs, and stronger measurement development, including multi-item assessment of future financial orientation. Digital-service use, payment convenience, promotional exposure, social influence, and impulsive spending should be measured more distinctly. Further studies should also test financial-education interventions and compare predictive performance against appropriate alternative models. These steps would help establish whether the observed associations generalize across student populations and persist over time.</w:t>
      </w:r>
    </w:p>
    <w:p w14:paraId="6550CE1D">
      <w:pPr>
        <w:pStyle w:val="2"/>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6. CONCLUSION</w:t>
      </w:r>
    </w:p>
    <w:p w14:paraId="3FE9FEEA">
      <w:pPr>
        <w:pStyle w:val="19"/>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cs="Times New Roman"/>
          <w:sz w:val="22"/>
          <w:szCs w:val="22"/>
        </w:rPr>
        <w:t>This study examined the relationships among financial literacy, digital financial behavior, financial management behavior, impulsive spending, social influence, and future financial orientation among higher-education students in Bangladesh. The findings distinguish objective financial knowledge from reported financial practices and future-oriented preferences. Financial literacy was positively associated with financial management behavior but had no significant direct association with future financial orientation. Financial management behavior showed the strongest direct association with future financial orientation, whereas impulsive spending was negatively associated with it. Digital financial behavior was negatively associated with financial management behavior and positively associated with impulsive spending.</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Of the seven hypothesized direct relationships, five were supported in the proposed directions, one was significant in the opposite direction, and one was statistically nonsignificant.</w:t>
      </w:r>
    </w:p>
    <w:p w14:paraId="2EF01AA3">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All four specified indirect relationships were statistically significant, and sensitivity analysis indicated that the principal estimates were stable under the examined exclusion scenario. However, the model did not outperform the linear-model benchmark in predictive assessment, and its explanatory power for financial management behavior was limited. Differences in financial-literacy scores across academic disciplines were substantial, but these differences should not be interpreted as evidence that academic discipline itself causes greater financial knowledge.</w:t>
      </w:r>
    </w:p>
    <w:p w14:paraId="202F10F4">
      <w:pPr>
        <w:pStyle w:val="4"/>
        <w:bidi w:val="0"/>
        <w:spacing w:before="0" w:after="140" w:line="276" w:lineRule="auto"/>
        <w:jc w:val="left"/>
        <w:rPr>
          <w:rFonts w:hint="default" w:ascii="Times New Roman" w:hAnsi="Times New Roman" w:cs="Times New Roman"/>
          <w:sz w:val="22"/>
          <w:szCs w:val="22"/>
        </w:rPr>
      </w:pPr>
      <w:r>
        <w:rPr>
          <w:rFonts w:hint="default" w:ascii="Times New Roman" w:hAnsi="Times New Roman" w:cs="Times New Roman"/>
          <w:sz w:val="22"/>
          <w:szCs w:val="22"/>
        </w:rPr>
        <w:t>The findings should be interpreted in light of the cross-sectional design, non-probability sampling, potential measurement overlap, and single-item measurement of future financial orientation. The study provides an integrated, context-specific assessment of student financial behavior and identifies relationships that warrant further examination using stronger measurement designs and longitudinal or intervention-based research.</w:t>
      </w:r>
    </w:p>
    <w:p w14:paraId="6C11D7BD">
      <w:pPr>
        <w:pStyle w:val="4"/>
        <w:bidi w:val="0"/>
        <w:spacing w:before="0" w:after="140" w:line="276" w:lineRule="auto"/>
        <w:jc w:val="left"/>
        <w:rPr>
          <w:rFonts w:hint="default" w:ascii="Times New Roman" w:hAnsi="Times New Roman" w:cs="Times New Roman"/>
          <w:sz w:val="22"/>
          <w:szCs w:val="22"/>
        </w:rPr>
      </w:pPr>
    </w:p>
    <w:p w14:paraId="76DA6D4D">
      <w:pPr>
        <w:pStyle w:val="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References</w:t>
      </w:r>
    </w:p>
    <w:p w14:paraId="2C9DB8D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Ajzen, I. (1991). The theory of planned behavior. </w:t>
      </w:r>
      <w:r>
        <w:rPr>
          <w:rStyle w:val="11"/>
          <w:rFonts w:hint="default" w:ascii="Times New Roman" w:hAnsi="Times New Roman" w:cs="Times New Roman"/>
          <w:sz w:val="22"/>
          <w:szCs w:val="22"/>
        </w:rPr>
        <w:t>Organizational Behavior and Human Decision Processes, 50</w:t>
      </w:r>
      <w:r>
        <w:rPr>
          <w:rFonts w:hint="default" w:ascii="Times New Roman" w:hAnsi="Times New Roman" w:cs="Times New Roman"/>
          <w:sz w:val="22"/>
          <w:szCs w:val="22"/>
        </w:rPr>
        <w:t xml:space="preserve">(2), 179–211.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"https://doi.org/10.1016/0749-5978(91)90020-T"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https://doi.org/10.1016/0749-5978(91)90020-T</w:t>
      </w:r>
      <w:r>
        <w:rPr>
          <w:rFonts w:hint="default" w:ascii="Times New Roman" w:hAnsi="Times New Roman" w:cs="Times New Roman"/>
          <w:sz w:val="22"/>
          <w:szCs w:val="22"/>
        </w:rPr>
        <w:fldChar w:fldCharType="end"/>
      </w:r>
    </w:p>
    <w:p w14:paraId="09C51E7A">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Aktar, K. (2023). An assessment of financial literacy and financial inclusion among university students in Bangladesh. </w:t>
      </w:r>
      <w:r>
        <w:rPr>
          <w:rStyle w:val="11"/>
          <w:rFonts w:hint="default" w:ascii="Times New Roman" w:hAnsi="Times New Roman" w:cs="Times New Roman"/>
          <w:sz w:val="22"/>
          <w:szCs w:val="22"/>
        </w:rPr>
        <w:t>Journal of the Institute of Bankers, Bangladesh, 65</w:t>
      </w:r>
      <w:r>
        <w:rPr>
          <w:rFonts w:hint="default" w:ascii="Times New Roman" w:hAnsi="Times New Roman" w:cs="Times New Roman"/>
          <w:sz w:val="22"/>
          <w:szCs w:val="22"/>
        </w:rPr>
        <w:t>, 1–22.</w:t>
      </w:r>
    </w:p>
    <w:p w14:paraId="3F06B2F3">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Faraz, N., &amp; Anjum, A. (2025). Spendception: The psychological impact of digital payments on consumer purchase behavior and impulse buying. </w:t>
      </w:r>
      <w:r>
        <w:rPr>
          <w:rStyle w:val="11"/>
          <w:rFonts w:hint="default" w:ascii="Times New Roman" w:hAnsi="Times New Roman" w:cs="Times New Roman"/>
          <w:sz w:val="22"/>
          <w:szCs w:val="22"/>
        </w:rPr>
        <w:t>Behavioral Sciences, 15</w:t>
      </w:r>
      <w:r>
        <w:rPr>
          <w:rFonts w:hint="default" w:ascii="Times New Roman" w:hAnsi="Times New Roman" w:cs="Times New Roman"/>
          <w:sz w:val="22"/>
          <w:szCs w:val="22"/>
        </w:rPr>
        <w:t xml:space="preserve">(3), Article 387.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"https://doi.org/10.3390/bs15030387"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https://doi.org/10.3390/bs15030387</w:t>
      </w:r>
      <w:r>
        <w:rPr>
          <w:rFonts w:hint="default" w:ascii="Times New Roman" w:hAnsi="Times New Roman" w:cs="Times New Roman"/>
          <w:sz w:val="22"/>
          <w:szCs w:val="22"/>
        </w:rPr>
        <w:fldChar w:fldCharType="end"/>
      </w:r>
    </w:p>
    <w:p w14:paraId="56C8E0DA">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Hair, J. F., Risher, J. J., Sarstedt, M., &amp; Ringle, C. M. (2019). When to use and how to report the results of PLS-SEM. </w:t>
      </w:r>
      <w:r>
        <w:rPr>
          <w:rStyle w:val="11"/>
          <w:rFonts w:hint="default" w:ascii="Times New Roman" w:hAnsi="Times New Roman" w:cs="Times New Roman"/>
          <w:sz w:val="22"/>
          <w:szCs w:val="22"/>
        </w:rPr>
        <w:t>European Business Review, 31</w:t>
      </w:r>
      <w:r>
        <w:rPr>
          <w:rFonts w:hint="default" w:ascii="Times New Roman" w:hAnsi="Times New Roman" w:cs="Times New Roman"/>
          <w:sz w:val="22"/>
          <w:szCs w:val="22"/>
        </w:rPr>
        <w:t xml:space="preserve">(1), 2–24.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"https://doi.org/10.1108/EBR-11-2018-0203"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https://doi.org/10.1108/EBR-11-2018-0203</w:t>
      </w:r>
      <w:r>
        <w:rPr>
          <w:rFonts w:hint="default" w:ascii="Times New Roman" w:hAnsi="Times New Roman" w:cs="Times New Roman"/>
          <w:sz w:val="22"/>
          <w:szCs w:val="22"/>
        </w:rPr>
        <w:fldChar w:fldCharType="end"/>
      </w:r>
    </w:p>
    <w:p w14:paraId="47E57F7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Hazra, U., &amp; Priyo, A. K. K. (2021). Mobile financial services in Bangladesh: Understanding the affordances. </w:t>
      </w:r>
      <w:r>
        <w:rPr>
          <w:rStyle w:val="11"/>
          <w:rFonts w:hint="default" w:ascii="Times New Roman" w:hAnsi="Times New Roman" w:cs="Times New Roman"/>
          <w:sz w:val="22"/>
          <w:szCs w:val="22"/>
        </w:rPr>
        <w:t>The Electronic Journal of Information Systems in Developing Countries, 87</w:t>
      </w:r>
      <w:r>
        <w:rPr>
          <w:rFonts w:hint="default" w:ascii="Times New Roman" w:hAnsi="Times New Roman" w:cs="Times New Roman"/>
          <w:sz w:val="22"/>
          <w:szCs w:val="22"/>
        </w:rPr>
        <w:t xml:space="preserve">(3), Article e12166.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"https://doi.org/10.1002/isd2.12166"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https://doi.org/10.1002/isd2.12166</w:t>
      </w:r>
      <w:r>
        <w:rPr>
          <w:rFonts w:hint="default" w:ascii="Times New Roman" w:hAnsi="Times New Roman" w:cs="Times New Roman"/>
          <w:sz w:val="22"/>
          <w:szCs w:val="22"/>
        </w:rPr>
        <w:fldChar w:fldCharType="end"/>
      </w:r>
    </w:p>
    <w:p w14:paraId="55ED538E">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Henseler, J., Ringle, C. M., &amp; Sarstedt, M. (2015). A new criterion for assessing discriminant validity in variance-based structural equation modeling. </w:t>
      </w:r>
      <w:r>
        <w:rPr>
          <w:rStyle w:val="11"/>
          <w:rFonts w:hint="default" w:ascii="Times New Roman" w:hAnsi="Times New Roman" w:cs="Times New Roman"/>
          <w:sz w:val="22"/>
          <w:szCs w:val="22"/>
        </w:rPr>
        <w:t>Journal of the Academy of Marketing Science, 43</w:t>
      </w:r>
      <w:r>
        <w:rPr>
          <w:rFonts w:hint="default" w:ascii="Times New Roman" w:hAnsi="Times New Roman" w:cs="Times New Roman"/>
          <w:sz w:val="22"/>
          <w:szCs w:val="22"/>
        </w:rPr>
        <w:t xml:space="preserve">(1), 115–135.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"https://doi.org/10.1007/s11747-014-0403-8"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https://doi.org/10.1007/s11747-014-0403-8</w:t>
      </w:r>
      <w:r>
        <w:rPr>
          <w:rFonts w:hint="default" w:ascii="Times New Roman" w:hAnsi="Times New Roman" w:cs="Times New Roman"/>
          <w:sz w:val="22"/>
          <w:szCs w:val="22"/>
        </w:rPr>
        <w:fldChar w:fldCharType="end"/>
      </w:r>
    </w:p>
    <w:p w14:paraId="3650A17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Kabir, S. B., &amp; Alam, J. (2024). Attitude towards using mobile financial services: A study on university students in Bangladesh. </w:t>
      </w:r>
      <w:r>
        <w:rPr>
          <w:rStyle w:val="11"/>
          <w:rFonts w:hint="default" w:ascii="Times New Roman" w:hAnsi="Times New Roman" w:cs="Times New Roman"/>
          <w:sz w:val="22"/>
          <w:szCs w:val="22"/>
        </w:rPr>
        <w:t>Journal of Banking &amp; Financial Services, 15</w:t>
      </w:r>
      <w:r>
        <w:rPr>
          <w:rFonts w:hint="default" w:ascii="Times New Roman" w:hAnsi="Times New Roman" w:cs="Times New Roman"/>
          <w:sz w:val="22"/>
          <w:szCs w:val="22"/>
        </w:rPr>
        <w:t xml:space="preserve">(1–2), 153–175.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"https://doi.org/10.57143/JBFSV15A8"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https://doi.org/10.57143/JBFSV15A8</w:t>
      </w:r>
      <w:r>
        <w:rPr>
          <w:rFonts w:hint="default" w:ascii="Times New Roman" w:hAnsi="Times New Roman" w:cs="Times New Roman"/>
          <w:sz w:val="22"/>
          <w:szCs w:val="22"/>
        </w:rPr>
        <w:fldChar w:fldCharType="end"/>
      </w:r>
    </w:p>
    <w:p w14:paraId="1A9CAC3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Karmaker, S., Oishi, M. E. F., Qasem, A., Sami, S. B. S., &amp; Noor, J. (2025). Exploring influential factors of consumer purchase behavior on the adoption of digital payment apps in Bangladesh. </w:t>
      </w:r>
      <w:r>
        <w:rPr>
          <w:rStyle w:val="11"/>
          <w:rFonts w:hint="default" w:ascii="Times New Roman" w:hAnsi="Times New Roman" w:cs="Times New Roman"/>
          <w:sz w:val="22"/>
          <w:szCs w:val="22"/>
        </w:rPr>
        <w:t>Computers in Human Behavior Reports, 17</w:t>
      </w:r>
      <w:r>
        <w:rPr>
          <w:rFonts w:hint="default" w:ascii="Times New Roman" w:hAnsi="Times New Roman" w:cs="Times New Roman"/>
          <w:sz w:val="22"/>
          <w:szCs w:val="22"/>
        </w:rPr>
        <w:t xml:space="preserve">, Article 100587.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"https://doi.org/10.1016/j.chbr.2025.100587"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https://doi.org/10.1016/j.chbr.2025.100587</w:t>
      </w:r>
      <w:r>
        <w:rPr>
          <w:rFonts w:hint="default" w:ascii="Times New Roman" w:hAnsi="Times New Roman" w:cs="Times New Roman"/>
          <w:sz w:val="22"/>
          <w:szCs w:val="22"/>
        </w:rPr>
        <w:fldChar w:fldCharType="end"/>
      </w:r>
    </w:p>
    <w:p w14:paraId="00FECB98">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Khan, M. S. R., &amp; Rabbani, N. (2025). Mind the gap: Differentiating financial and debt literacy in shaping student financial behavior. </w:t>
      </w:r>
      <w:r>
        <w:rPr>
          <w:rStyle w:val="11"/>
          <w:rFonts w:hint="default" w:ascii="Times New Roman" w:hAnsi="Times New Roman" w:cs="Times New Roman"/>
          <w:sz w:val="22"/>
          <w:szCs w:val="22"/>
        </w:rPr>
        <w:t>Future Business Journal, 11</w:t>
      </w:r>
      <w:r>
        <w:rPr>
          <w:rFonts w:hint="default" w:ascii="Times New Roman" w:hAnsi="Times New Roman" w:cs="Times New Roman"/>
          <w:sz w:val="22"/>
          <w:szCs w:val="22"/>
        </w:rPr>
        <w:t xml:space="preserve">, Article 277.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"https://doi.org/10.1186/s43093-025-00698-1"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https://doi.org/10.1186/s43093-025-00698-1</w:t>
      </w:r>
      <w:r>
        <w:rPr>
          <w:rFonts w:hint="default" w:ascii="Times New Roman" w:hAnsi="Times New Roman" w:cs="Times New Roman"/>
          <w:sz w:val="22"/>
          <w:szCs w:val="22"/>
        </w:rPr>
        <w:fldChar w:fldCharType="end"/>
      </w:r>
    </w:p>
    <w:p w14:paraId="24660EA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Li, J., &amp; Ruan, T. (2024). Digital payments and consumption: Evidence from the 2016 demonetization in India. </w:t>
      </w:r>
      <w:r>
        <w:rPr>
          <w:rStyle w:val="11"/>
          <w:rFonts w:hint="default" w:ascii="Times New Roman" w:hAnsi="Times New Roman" w:cs="Times New Roman"/>
          <w:sz w:val="22"/>
          <w:szCs w:val="22"/>
        </w:rPr>
        <w:t>The Review of Financial Studies, 37</w:t>
      </w:r>
      <w:r>
        <w:rPr>
          <w:rFonts w:hint="default" w:ascii="Times New Roman" w:hAnsi="Times New Roman" w:cs="Times New Roman"/>
          <w:sz w:val="22"/>
          <w:szCs w:val="22"/>
        </w:rPr>
        <w:t xml:space="preserve">(8), 2550–2585.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"https://doi.org/10.1093/rfs/hhae005"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https://doi.org/10.1093/rfs/hhae005</w:t>
      </w:r>
      <w:r>
        <w:rPr>
          <w:rFonts w:hint="default" w:ascii="Times New Roman" w:hAnsi="Times New Roman" w:cs="Times New Roman"/>
          <w:sz w:val="22"/>
          <w:szCs w:val="22"/>
        </w:rPr>
        <w:fldChar w:fldCharType="end"/>
      </w:r>
    </w:p>
    <w:p w14:paraId="61FE11B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Lusardi, A., &amp; Mitchell, O. S. (2014). The economic importance of financial literacy: Theory and evidence. </w:t>
      </w:r>
      <w:r>
        <w:rPr>
          <w:rStyle w:val="11"/>
          <w:rFonts w:hint="default" w:ascii="Times New Roman" w:hAnsi="Times New Roman" w:cs="Times New Roman"/>
          <w:sz w:val="22"/>
          <w:szCs w:val="22"/>
        </w:rPr>
        <w:t>Journal of Economic Literature, 52</w:t>
      </w:r>
      <w:r>
        <w:rPr>
          <w:rFonts w:hint="default" w:ascii="Times New Roman" w:hAnsi="Times New Roman" w:cs="Times New Roman"/>
          <w:sz w:val="22"/>
          <w:szCs w:val="22"/>
        </w:rPr>
        <w:t xml:space="preserve">(1), 5–44.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"https://doi.org/10.1257/jel.52.1.5"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https://doi.org/10.1257/jel.52.1.5</w:t>
      </w:r>
      <w:r>
        <w:rPr>
          <w:rFonts w:hint="default" w:ascii="Times New Roman" w:hAnsi="Times New Roman" w:cs="Times New Roman"/>
          <w:sz w:val="22"/>
          <w:szCs w:val="22"/>
        </w:rPr>
        <w:fldChar w:fldCharType="end"/>
      </w:r>
    </w:p>
    <w:p w14:paraId="19F961EF">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OECD. (2023). </w:t>
      </w:r>
      <w:r>
        <w:rPr>
          <w:rStyle w:val="11"/>
          <w:rFonts w:hint="default" w:ascii="Times New Roman" w:hAnsi="Times New Roman" w:cs="Times New Roman"/>
          <w:sz w:val="22"/>
          <w:szCs w:val="22"/>
        </w:rPr>
        <w:t>OECD/INFE 2023 international survey of adult financial literacy</w:t>
      </w:r>
      <w:r>
        <w:rPr>
          <w:rFonts w:hint="default" w:ascii="Times New Roman" w:hAnsi="Times New Roman" w:cs="Times New Roman"/>
          <w:sz w:val="22"/>
          <w:szCs w:val="22"/>
        </w:rPr>
        <w:t xml:space="preserve">. OECD Publishing.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"https://doi.org/10.1787/56003a32-en"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https://doi.org/10.1787/56003a32-en</w:t>
      </w:r>
      <w:r>
        <w:rPr>
          <w:rFonts w:hint="default" w:ascii="Times New Roman" w:hAnsi="Times New Roman" w:cs="Times New Roman"/>
          <w:sz w:val="22"/>
          <w:szCs w:val="22"/>
        </w:rPr>
        <w:fldChar w:fldCharType="end"/>
      </w:r>
    </w:p>
    <w:p w14:paraId="522257FA">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Rabbani, N. (2023). Financial conditions and borrowing behavior of university students during the COVID-19 pandemic: Evidence from Bangladesh. </w:t>
      </w:r>
      <w:r>
        <w:rPr>
          <w:rStyle w:val="11"/>
          <w:rFonts w:hint="default" w:ascii="Times New Roman" w:hAnsi="Times New Roman" w:cs="Times New Roman"/>
          <w:sz w:val="22"/>
          <w:szCs w:val="22"/>
        </w:rPr>
        <w:t>Sustainability, 15</w:t>
      </w:r>
      <w:r>
        <w:rPr>
          <w:rFonts w:hint="default" w:ascii="Times New Roman" w:hAnsi="Times New Roman" w:cs="Times New Roman"/>
          <w:sz w:val="22"/>
          <w:szCs w:val="22"/>
        </w:rPr>
        <w:t xml:space="preserve">(19), Article 14123.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"https://doi.org/10.3390/su151914123"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https://doi.org/10.3390/su151914123</w:t>
      </w:r>
      <w:r>
        <w:rPr>
          <w:rFonts w:hint="default" w:ascii="Times New Roman" w:hAnsi="Times New Roman" w:cs="Times New Roman"/>
          <w:sz w:val="22"/>
          <w:szCs w:val="22"/>
        </w:rPr>
        <w:fldChar w:fldCharType="end"/>
      </w:r>
    </w:p>
    <w:p w14:paraId="6623E49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Redine, A., Deshpande, S., &amp; Surachartkumtonkun, J. (2023). Impulse buying: A systematic literature review and future research directions. </w:t>
      </w:r>
      <w:r>
        <w:rPr>
          <w:rStyle w:val="11"/>
          <w:rFonts w:hint="default" w:ascii="Times New Roman" w:hAnsi="Times New Roman" w:cs="Times New Roman"/>
          <w:sz w:val="22"/>
          <w:szCs w:val="22"/>
        </w:rPr>
        <w:t>International Journal of Consumer Studies, 47</w:t>
      </w:r>
      <w:r>
        <w:rPr>
          <w:rFonts w:hint="default" w:ascii="Times New Roman" w:hAnsi="Times New Roman" w:cs="Times New Roman"/>
          <w:sz w:val="22"/>
          <w:szCs w:val="22"/>
        </w:rPr>
        <w:t xml:space="preserve">(1), 3–41.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"https://doi.org/10.1111/ijcs.12862"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https://doi.org/10.1111/ijcs.12862</w:t>
      </w:r>
      <w:r>
        <w:rPr>
          <w:rFonts w:hint="default" w:ascii="Times New Roman" w:hAnsi="Times New Roman" w:cs="Times New Roman"/>
          <w:sz w:val="22"/>
          <w:szCs w:val="22"/>
        </w:rPr>
        <w:fldChar w:fldCharType="end"/>
      </w:r>
    </w:p>
    <w:p w14:paraId="7DD89EA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Rook, D. W. (1987). The buying impulse. </w:t>
      </w:r>
      <w:r>
        <w:rPr>
          <w:rStyle w:val="11"/>
          <w:rFonts w:hint="default" w:ascii="Times New Roman" w:hAnsi="Times New Roman" w:cs="Times New Roman"/>
          <w:sz w:val="22"/>
          <w:szCs w:val="22"/>
        </w:rPr>
        <w:t>Journal of Consumer Research, 14</w:t>
      </w:r>
      <w:r>
        <w:rPr>
          <w:rFonts w:hint="default" w:ascii="Times New Roman" w:hAnsi="Times New Roman" w:cs="Times New Roman"/>
          <w:sz w:val="22"/>
          <w:szCs w:val="22"/>
        </w:rPr>
        <w:t xml:space="preserve">(2), 189–199.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"https://doi.org/10.1086/209105"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https://doi.org/10.1086/209105</w:t>
      </w:r>
      <w:r>
        <w:rPr>
          <w:rFonts w:hint="default" w:ascii="Times New Roman" w:hAnsi="Times New Roman" w:cs="Times New Roman"/>
          <w:sz w:val="22"/>
          <w:szCs w:val="22"/>
        </w:rPr>
        <w:fldChar w:fldCharType="end"/>
      </w:r>
    </w:p>
    <w:p w14:paraId="191D2ADE">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Shmueli, G., Sarstedt, M., Hair, J. F., Cheah, J.-H., Ting, H., Vaithilingam, S., &amp; Ringle, C. M. (2019). Predictive model assessment in PLS-SEM: Guidelines for using PLSpredict. </w:t>
      </w:r>
      <w:r>
        <w:rPr>
          <w:rStyle w:val="11"/>
          <w:rFonts w:hint="default" w:ascii="Times New Roman" w:hAnsi="Times New Roman" w:cs="Times New Roman"/>
          <w:sz w:val="22"/>
          <w:szCs w:val="22"/>
        </w:rPr>
        <w:t>European Journal of Marketing, 53</w:t>
      </w:r>
      <w:r>
        <w:rPr>
          <w:rFonts w:hint="default" w:ascii="Times New Roman" w:hAnsi="Times New Roman" w:cs="Times New Roman"/>
          <w:sz w:val="22"/>
          <w:szCs w:val="22"/>
        </w:rPr>
        <w:t xml:space="preserve">(11), 2322–2347.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"https://doi.org/10.1108/EJM-02-2019-0189"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https://doi.org/10.1108/EJM-02-2019-0189</w:t>
      </w:r>
      <w:r>
        <w:rPr>
          <w:rFonts w:hint="default" w:ascii="Times New Roman" w:hAnsi="Times New Roman" w:cs="Times New Roman"/>
          <w:sz w:val="22"/>
          <w:szCs w:val="22"/>
        </w:rPr>
        <w:fldChar w:fldCharType="end"/>
      </w:r>
    </w:p>
    <w:p w14:paraId="04FB984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Sohn, S.-H., Joo, S.-H., Grable, J. E., Lee, S., &amp; Kim, M. (2012). Adolescents’ financial literacy: The role of financial socialization agents, financial experiences, and money attitudes in shaping financial literacy among South Korean youth. </w:t>
      </w:r>
      <w:r>
        <w:rPr>
          <w:rStyle w:val="11"/>
          <w:rFonts w:hint="default" w:ascii="Times New Roman" w:hAnsi="Times New Roman" w:cs="Times New Roman"/>
          <w:sz w:val="22"/>
          <w:szCs w:val="22"/>
        </w:rPr>
        <w:t>Journal of Adolescence, 35</w:t>
      </w:r>
      <w:r>
        <w:rPr>
          <w:rFonts w:hint="default" w:ascii="Times New Roman" w:hAnsi="Times New Roman" w:cs="Times New Roman"/>
          <w:sz w:val="22"/>
          <w:szCs w:val="22"/>
        </w:rPr>
        <w:t xml:space="preserve">(4), 969–980.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"https://doi.org/10.1016/j.adolescence.2012.02.002"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https://doi.org/10.1016/j.adolescence.2012.02.002</w:t>
      </w:r>
      <w:r>
        <w:rPr>
          <w:rFonts w:hint="default" w:ascii="Times New Roman" w:hAnsi="Times New Roman" w:cs="Times New Roman"/>
          <w:sz w:val="22"/>
          <w:szCs w:val="22"/>
        </w:rPr>
        <w:fldChar w:fldCharType="end"/>
      </w:r>
    </w:p>
    <w:p w14:paraId="215EF3A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Thaler, R. (1985). Mental accounting and consumer choice. </w:t>
      </w:r>
      <w:r>
        <w:rPr>
          <w:rStyle w:val="11"/>
          <w:rFonts w:hint="default" w:ascii="Times New Roman" w:hAnsi="Times New Roman" w:cs="Times New Roman"/>
          <w:sz w:val="22"/>
          <w:szCs w:val="22"/>
        </w:rPr>
        <w:t>Marketing Science, 4</w:t>
      </w:r>
      <w:r>
        <w:rPr>
          <w:rFonts w:hint="default" w:ascii="Times New Roman" w:hAnsi="Times New Roman" w:cs="Times New Roman"/>
          <w:sz w:val="22"/>
          <w:szCs w:val="22"/>
        </w:rPr>
        <w:t xml:space="preserve">(3), 199–214.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"https://doi.org/10.1287/mksc.4.3.199"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https://doi.org/10.1287/mksc.4.3.199</w:t>
      </w:r>
      <w:r>
        <w:rPr>
          <w:rFonts w:hint="default" w:ascii="Times New Roman" w:hAnsi="Times New Roman" w:cs="Times New Roman"/>
          <w:sz w:val="22"/>
          <w:szCs w:val="22"/>
        </w:rPr>
        <w:fldChar w:fldCharType="end"/>
      </w:r>
    </w:p>
    <w:p w14:paraId="7CC52AF2">
      <w:pPr>
        <w:pStyle w:val="5"/>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br w:type="textWrapping"/>
      </w:r>
      <w:r>
        <w:rPr>
          <w:rFonts w:hint="default" w:ascii="Times New Roman" w:hAnsi="Times New Roman" w:cs="Times New Roman"/>
          <w:b w:val="0"/>
          <w:bCs w:val="0"/>
          <w:sz w:val="22"/>
          <w:szCs w:val="22"/>
        </w:rPr>
        <w:br w:type="textWrapping"/>
      </w:r>
      <w:r>
        <w:rPr>
          <w:rFonts w:hint="default" w:ascii="Times New Roman" w:hAnsi="Times New Roman" w:cs="Times New Roman"/>
          <w:b w:val="0"/>
          <w:bCs w:val="0"/>
          <w:sz w:val="22"/>
          <w:szCs w:val="22"/>
        </w:rPr>
        <w:br w:type="textWrapping"/>
      </w:r>
    </w:p>
    <w:p w14:paraId="669E8B15">
      <w:pPr>
        <w:pStyle w:val="5"/>
        <w:keepNext w:val="0"/>
        <w:keepLines w:val="0"/>
        <w:widowControl/>
        <w:suppressLineNumbers w:val="0"/>
        <w:rPr>
          <w:rFonts w:hint="default" w:ascii="Times New Roman" w:hAnsi="Times New Roman" w:cs="Times New Roman"/>
          <w:b w:val="0"/>
          <w:bCs w:val="0"/>
          <w:sz w:val="22"/>
          <w:szCs w:val="22"/>
        </w:rPr>
      </w:pPr>
    </w:p>
    <w:p w14:paraId="4C2B40F8">
      <w:pPr>
        <w:pStyle w:val="5"/>
        <w:keepNext w:val="0"/>
        <w:keepLines w:val="0"/>
        <w:widowControl/>
        <w:suppressLineNumbers w:val="0"/>
        <w:rPr>
          <w:rFonts w:hint="default" w:ascii="Times New Roman" w:hAnsi="Times New Roman" w:cs="Times New Roman"/>
          <w:b w:val="0"/>
          <w:bCs w:val="0"/>
          <w:sz w:val="22"/>
          <w:szCs w:val="22"/>
        </w:rPr>
      </w:pPr>
    </w:p>
    <w:p w14:paraId="5C420A3A">
      <w:pPr>
        <w:pStyle w:val="5"/>
        <w:keepNext w:val="0"/>
        <w:keepLines w:val="0"/>
        <w:widowControl/>
        <w:suppressLineNumbers w:val="0"/>
        <w:rPr>
          <w:rFonts w:hint="default" w:ascii="Times New Roman" w:hAnsi="Times New Roman" w:cs="Times New Roman"/>
          <w:b w:val="0"/>
          <w:bCs w:val="0"/>
          <w:sz w:val="22"/>
          <w:szCs w:val="22"/>
        </w:rPr>
      </w:pPr>
    </w:p>
    <w:p w14:paraId="4435F2AB">
      <w:pPr>
        <w:pStyle w:val="2"/>
        <w:keepNext w:val="0"/>
        <w:keepLines w:val="0"/>
        <w:widowControl/>
        <w:suppressLineNumbers w:val="0"/>
        <w:rPr>
          <w:rFonts w:hint="default" w:ascii="Times New Roman" w:hAnsi="Times New Roman" w:cs="Times New Roman"/>
          <w:b w:val="0"/>
          <w:bCs w:val="0"/>
          <w:sz w:val="22"/>
          <w:szCs w:val="22"/>
        </w:rPr>
        <w:sectPr>
          <w:footerReference r:id="rId3" w:type="default"/>
          <w:pgSz w:w="12240" w:h="15840"/>
          <w:pgMar w:top="994" w:right="994" w:bottom="994" w:left="1138" w:header="0" w:footer="0" w:gutter="0"/>
          <w:pgNumType w:fmt="decimal" w:start="1"/>
          <w:cols w:space="720" w:num="1"/>
          <w:formProt w:val="0"/>
          <w:docGrid w:linePitch="600" w:charSpace="32768"/>
        </w:sectPr>
      </w:pPr>
    </w:p>
    <w:p w14:paraId="13A322AC">
      <w:pPr>
        <w:pStyle w:val="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Supplementary Table S1</w:t>
      </w:r>
    </w:p>
    <w:p w14:paraId="2B6269D5">
      <w:pPr>
        <w:pStyle w:val="19"/>
        <w:keepNext w:val="0"/>
        <w:keepLines w:val="0"/>
        <w:widowControl/>
        <w:suppressLineNumbers w:val="0"/>
        <w:rPr>
          <w:rFonts w:hint="default" w:ascii="Times New Roman" w:hAnsi="Times New Roman" w:cs="Times New Roman"/>
          <w:b/>
          <w:bCs/>
          <w:sz w:val="22"/>
          <w:szCs w:val="22"/>
        </w:rPr>
      </w:pPr>
      <w:r>
        <w:rPr>
          <w:rFonts w:hint="default" w:ascii="Times New Roman" w:hAnsi="Times New Roman" w:cs="Times New Roman"/>
          <w:sz w:val="22"/>
          <w:szCs w:val="22"/>
        </w:rPr>
        <w:t>Complete Pairw</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ise Comparisons Across Academic Disciplines</w:t>
      </w:r>
    </w:p>
    <w:tbl>
      <w:tblPr>
        <w:tblStyle w:val="9"/>
        <w:tblW w:w="1394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83"/>
        <w:gridCol w:w="2044"/>
        <w:gridCol w:w="2044"/>
        <w:gridCol w:w="746"/>
        <w:gridCol w:w="603"/>
        <w:gridCol w:w="841"/>
        <w:gridCol w:w="953"/>
        <w:gridCol w:w="1133"/>
        <w:gridCol w:w="1138"/>
        <w:gridCol w:w="953"/>
        <w:gridCol w:w="1080"/>
        <w:gridCol w:w="1430"/>
      </w:tblGrid>
      <w:tr w14:paraId="0B8D8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983" w:type="dxa"/>
            <w:tcBorders>
              <w:top w:val="single" w:color="000000" w:sz="4" w:space="0"/>
              <w:left w:val="single" w:color="000000" w:sz="4" w:space="0"/>
              <w:bottom w:val="single" w:color="000000" w:sz="4" w:space="0"/>
              <w:right w:val="single" w:color="000000" w:sz="4" w:space="0"/>
            </w:tcBorders>
            <w:shd w:val="clear" w:color="auto" w:fill="24476B"/>
            <w:vAlign w:val="center"/>
          </w:tcPr>
          <w:p w14:paraId="6A9F956B">
            <w:pPr>
              <w:keepNext w:val="0"/>
              <w:keepLines w:val="0"/>
              <w:widowControl/>
              <w:suppressLineNumbers w:val="0"/>
              <w:jc w:val="center"/>
              <w:textAlignment w:val="center"/>
              <w:rPr>
                <w:rFonts w:hint="default" w:ascii="Times New Roman" w:hAnsi="Times New Roman" w:cs="Times New Roman"/>
                <w:b/>
                <w:bCs/>
                <w:i w:val="0"/>
                <w:iCs w:val="0"/>
                <w:color w:val="FFFFFF"/>
                <w:sz w:val="22"/>
                <w:szCs w:val="22"/>
                <w:u w:val="none"/>
              </w:rPr>
            </w:pPr>
            <w:r>
              <w:rPr>
                <w:rFonts w:hint="default" w:ascii="Times New Roman" w:hAnsi="Times New Roman" w:eastAsia="SimSun" w:cs="Times New Roman"/>
                <w:b/>
                <w:bCs/>
                <w:i w:val="0"/>
                <w:iCs w:val="0"/>
                <w:color w:val="FFFFFF"/>
                <w:kern w:val="0"/>
                <w:sz w:val="22"/>
                <w:szCs w:val="22"/>
                <w:u w:val="none"/>
                <w:lang w:val="en-US" w:eastAsia="zh-CN" w:bidi="ar"/>
              </w:rPr>
              <w:t>Outcome</w:t>
            </w:r>
          </w:p>
        </w:tc>
        <w:tc>
          <w:tcPr>
            <w:tcW w:w="2044" w:type="dxa"/>
            <w:tcBorders>
              <w:top w:val="single" w:color="000000" w:sz="4" w:space="0"/>
              <w:left w:val="single" w:color="000000" w:sz="4" w:space="0"/>
              <w:bottom w:val="single" w:color="000000" w:sz="4" w:space="0"/>
              <w:right w:val="single" w:color="000000" w:sz="4" w:space="0"/>
            </w:tcBorders>
            <w:shd w:val="clear" w:color="auto" w:fill="24476B"/>
            <w:vAlign w:val="center"/>
          </w:tcPr>
          <w:p w14:paraId="6EE798BB">
            <w:pPr>
              <w:keepNext w:val="0"/>
              <w:keepLines w:val="0"/>
              <w:widowControl/>
              <w:suppressLineNumbers w:val="0"/>
              <w:jc w:val="center"/>
              <w:textAlignment w:val="center"/>
              <w:rPr>
                <w:rFonts w:hint="default" w:ascii="Times New Roman" w:hAnsi="Times New Roman" w:cs="Times New Roman"/>
                <w:b/>
                <w:bCs/>
                <w:i w:val="0"/>
                <w:iCs w:val="0"/>
                <w:color w:val="FFFFFF"/>
                <w:sz w:val="22"/>
                <w:szCs w:val="22"/>
                <w:u w:val="none"/>
              </w:rPr>
            </w:pPr>
            <w:r>
              <w:rPr>
                <w:rFonts w:hint="default" w:ascii="Times New Roman" w:hAnsi="Times New Roman" w:eastAsia="SimSun" w:cs="Times New Roman"/>
                <w:b/>
                <w:bCs/>
                <w:i w:val="0"/>
                <w:iCs w:val="0"/>
                <w:color w:val="FFFFFF"/>
                <w:kern w:val="0"/>
                <w:sz w:val="22"/>
                <w:szCs w:val="22"/>
                <w:u w:val="none"/>
                <w:lang w:val="en-US" w:eastAsia="zh-CN" w:bidi="ar"/>
              </w:rPr>
              <w:t>Group A</w:t>
            </w:r>
          </w:p>
        </w:tc>
        <w:tc>
          <w:tcPr>
            <w:tcW w:w="2044" w:type="dxa"/>
            <w:tcBorders>
              <w:top w:val="single" w:color="000000" w:sz="4" w:space="0"/>
              <w:left w:val="single" w:color="000000" w:sz="4" w:space="0"/>
              <w:bottom w:val="single" w:color="000000" w:sz="4" w:space="0"/>
              <w:right w:val="single" w:color="000000" w:sz="4" w:space="0"/>
            </w:tcBorders>
            <w:shd w:val="clear" w:color="auto" w:fill="24476B"/>
            <w:vAlign w:val="center"/>
          </w:tcPr>
          <w:p w14:paraId="05FF6177">
            <w:pPr>
              <w:keepNext w:val="0"/>
              <w:keepLines w:val="0"/>
              <w:widowControl/>
              <w:suppressLineNumbers w:val="0"/>
              <w:jc w:val="center"/>
              <w:textAlignment w:val="center"/>
              <w:rPr>
                <w:rFonts w:hint="default" w:ascii="Times New Roman" w:hAnsi="Times New Roman" w:cs="Times New Roman"/>
                <w:b/>
                <w:bCs/>
                <w:i w:val="0"/>
                <w:iCs w:val="0"/>
                <w:color w:val="FFFFFF"/>
                <w:sz w:val="22"/>
                <w:szCs w:val="22"/>
                <w:u w:val="none"/>
              </w:rPr>
            </w:pPr>
            <w:r>
              <w:rPr>
                <w:rFonts w:hint="default" w:ascii="Times New Roman" w:hAnsi="Times New Roman" w:eastAsia="SimSun" w:cs="Times New Roman"/>
                <w:b/>
                <w:bCs/>
                <w:i w:val="0"/>
                <w:iCs w:val="0"/>
                <w:color w:val="FFFFFF"/>
                <w:kern w:val="0"/>
                <w:sz w:val="22"/>
                <w:szCs w:val="22"/>
                <w:u w:val="none"/>
                <w:lang w:val="en-US" w:eastAsia="zh-CN" w:bidi="ar"/>
              </w:rPr>
              <w:t>Group B</w:t>
            </w:r>
          </w:p>
        </w:tc>
        <w:tc>
          <w:tcPr>
            <w:tcW w:w="746" w:type="dxa"/>
            <w:tcBorders>
              <w:top w:val="single" w:color="000000" w:sz="4" w:space="0"/>
              <w:left w:val="single" w:color="000000" w:sz="4" w:space="0"/>
              <w:bottom w:val="single" w:color="000000" w:sz="4" w:space="0"/>
              <w:right w:val="single" w:color="000000" w:sz="4" w:space="0"/>
            </w:tcBorders>
            <w:shd w:val="clear" w:color="auto" w:fill="24476B"/>
            <w:vAlign w:val="center"/>
          </w:tcPr>
          <w:p w14:paraId="1F339D9B">
            <w:pPr>
              <w:keepNext w:val="0"/>
              <w:keepLines w:val="0"/>
              <w:widowControl/>
              <w:suppressLineNumbers w:val="0"/>
              <w:jc w:val="center"/>
              <w:textAlignment w:val="center"/>
              <w:rPr>
                <w:rFonts w:hint="default" w:ascii="Times New Roman" w:hAnsi="Times New Roman" w:cs="Times New Roman"/>
                <w:b/>
                <w:bCs/>
                <w:i w:val="0"/>
                <w:iCs w:val="0"/>
                <w:color w:val="FFFFFF"/>
                <w:sz w:val="22"/>
                <w:szCs w:val="22"/>
                <w:u w:val="none"/>
              </w:rPr>
            </w:pPr>
            <w:r>
              <w:rPr>
                <w:rFonts w:hint="default" w:ascii="Times New Roman" w:hAnsi="Times New Roman" w:eastAsia="SimSun" w:cs="Times New Roman"/>
                <w:b/>
                <w:bCs/>
                <w:i w:val="0"/>
                <w:iCs w:val="0"/>
                <w:color w:val="FFFFFF"/>
                <w:kern w:val="0"/>
                <w:sz w:val="22"/>
                <w:szCs w:val="22"/>
                <w:u w:val="none"/>
                <w:lang w:val="en-US" w:eastAsia="zh-CN" w:bidi="ar"/>
              </w:rPr>
              <w:t>n_A</w:t>
            </w:r>
          </w:p>
        </w:tc>
        <w:tc>
          <w:tcPr>
            <w:tcW w:w="603" w:type="dxa"/>
            <w:tcBorders>
              <w:top w:val="single" w:color="000000" w:sz="4" w:space="0"/>
              <w:left w:val="single" w:color="000000" w:sz="4" w:space="0"/>
              <w:bottom w:val="single" w:color="000000" w:sz="4" w:space="0"/>
              <w:right w:val="single" w:color="000000" w:sz="4" w:space="0"/>
            </w:tcBorders>
            <w:shd w:val="clear" w:color="auto" w:fill="24476B"/>
            <w:vAlign w:val="center"/>
          </w:tcPr>
          <w:p w14:paraId="1993247B">
            <w:pPr>
              <w:keepNext w:val="0"/>
              <w:keepLines w:val="0"/>
              <w:widowControl/>
              <w:suppressLineNumbers w:val="0"/>
              <w:jc w:val="center"/>
              <w:textAlignment w:val="center"/>
              <w:rPr>
                <w:rFonts w:hint="default" w:ascii="Times New Roman" w:hAnsi="Times New Roman" w:cs="Times New Roman"/>
                <w:b/>
                <w:bCs/>
                <w:i w:val="0"/>
                <w:iCs w:val="0"/>
                <w:color w:val="FFFFFF"/>
                <w:sz w:val="22"/>
                <w:szCs w:val="22"/>
                <w:u w:val="none"/>
              </w:rPr>
            </w:pPr>
            <w:r>
              <w:rPr>
                <w:rFonts w:hint="default" w:ascii="Times New Roman" w:hAnsi="Times New Roman" w:eastAsia="SimSun" w:cs="Times New Roman"/>
                <w:b/>
                <w:bCs/>
                <w:i w:val="0"/>
                <w:iCs w:val="0"/>
                <w:color w:val="FFFFFF"/>
                <w:kern w:val="0"/>
                <w:sz w:val="22"/>
                <w:szCs w:val="22"/>
                <w:u w:val="none"/>
                <w:lang w:val="en-US" w:eastAsia="zh-CN" w:bidi="ar"/>
              </w:rPr>
              <w:t>n_B</w:t>
            </w:r>
          </w:p>
        </w:tc>
        <w:tc>
          <w:tcPr>
            <w:tcW w:w="841" w:type="dxa"/>
            <w:tcBorders>
              <w:top w:val="single" w:color="000000" w:sz="4" w:space="0"/>
              <w:left w:val="single" w:color="000000" w:sz="4" w:space="0"/>
              <w:bottom w:val="single" w:color="000000" w:sz="4" w:space="0"/>
              <w:right w:val="single" w:color="000000" w:sz="4" w:space="0"/>
            </w:tcBorders>
            <w:shd w:val="clear" w:color="auto" w:fill="24476B"/>
            <w:vAlign w:val="center"/>
          </w:tcPr>
          <w:p w14:paraId="7E53D013">
            <w:pPr>
              <w:keepNext w:val="0"/>
              <w:keepLines w:val="0"/>
              <w:widowControl/>
              <w:suppressLineNumbers w:val="0"/>
              <w:jc w:val="center"/>
              <w:textAlignment w:val="center"/>
              <w:rPr>
                <w:rFonts w:hint="default" w:ascii="Times New Roman" w:hAnsi="Times New Roman" w:cs="Times New Roman"/>
                <w:b/>
                <w:bCs/>
                <w:i w:val="0"/>
                <w:iCs w:val="0"/>
                <w:color w:val="FFFFFF"/>
                <w:sz w:val="22"/>
                <w:szCs w:val="22"/>
                <w:u w:val="none"/>
              </w:rPr>
            </w:pPr>
            <w:r>
              <w:rPr>
                <w:rFonts w:hint="default" w:ascii="Times New Roman" w:hAnsi="Times New Roman" w:eastAsia="SimSun" w:cs="Times New Roman"/>
                <w:b/>
                <w:bCs/>
                <w:i w:val="0"/>
                <w:iCs w:val="0"/>
                <w:color w:val="FFFFFF"/>
                <w:kern w:val="0"/>
                <w:sz w:val="22"/>
                <w:szCs w:val="22"/>
                <w:u w:val="none"/>
                <w:lang w:val="en-US" w:eastAsia="zh-CN" w:bidi="ar"/>
              </w:rPr>
              <w:t>Mean A</w:t>
            </w:r>
          </w:p>
        </w:tc>
        <w:tc>
          <w:tcPr>
            <w:tcW w:w="953" w:type="dxa"/>
            <w:tcBorders>
              <w:top w:val="single" w:color="000000" w:sz="4" w:space="0"/>
              <w:left w:val="single" w:color="000000" w:sz="4" w:space="0"/>
              <w:bottom w:val="single" w:color="000000" w:sz="4" w:space="0"/>
              <w:right w:val="single" w:color="000000" w:sz="4" w:space="0"/>
            </w:tcBorders>
            <w:shd w:val="clear" w:color="auto" w:fill="24476B"/>
            <w:vAlign w:val="center"/>
          </w:tcPr>
          <w:p w14:paraId="0224C226">
            <w:pPr>
              <w:keepNext w:val="0"/>
              <w:keepLines w:val="0"/>
              <w:widowControl/>
              <w:suppressLineNumbers w:val="0"/>
              <w:jc w:val="center"/>
              <w:textAlignment w:val="center"/>
              <w:rPr>
                <w:rFonts w:hint="default" w:ascii="Times New Roman" w:hAnsi="Times New Roman" w:cs="Times New Roman"/>
                <w:b/>
                <w:bCs/>
                <w:i w:val="0"/>
                <w:iCs w:val="0"/>
                <w:color w:val="FFFFFF"/>
                <w:sz w:val="22"/>
                <w:szCs w:val="22"/>
                <w:u w:val="none"/>
              </w:rPr>
            </w:pPr>
            <w:r>
              <w:rPr>
                <w:rFonts w:hint="default" w:ascii="Times New Roman" w:hAnsi="Times New Roman" w:eastAsia="SimSun" w:cs="Times New Roman"/>
                <w:b/>
                <w:bCs/>
                <w:i w:val="0"/>
                <w:iCs w:val="0"/>
                <w:color w:val="FFFFFF"/>
                <w:kern w:val="0"/>
                <w:sz w:val="22"/>
                <w:szCs w:val="22"/>
                <w:u w:val="none"/>
                <w:lang w:val="en-US" w:eastAsia="zh-CN" w:bidi="ar"/>
              </w:rPr>
              <w:t>Mean B</w:t>
            </w:r>
          </w:p>
        </w:tc>
        <w:tc>
          <w:tcPr>
            <w:tcW w:w="1133" w:type="dxa"/>
            <w:tcBorders>
              <w:top w:val="single" w:color="000000" w:sz="4" w:space="0"/>
              <w:left w:val="single" w:color="000000" w:sz="4" w:space="0"/>
              <w:bottom w:val="single" w:color="000000" w:sz="4" w:space="0"/>
              <w:right w:val="single" w:color="000000" w:sz="4" w:space="0"/>
            </w:tcBorders>
            <w:shd w:val="clear" w:color="auto" w:fill="24476B"/>
            <w:vAlign w:val="center"/>
          </w:tcPr>
          <w:p w14:paraId="0087A2EF">
            <w:pPr>
              <w:keepNext w:val="0"/>
              <w:keepLines w:val="0"/>
              <w:widowControl/>
              <w:suppressLineNumbers w:val="0"/>
              <w:jc w:val="center"/>
              <w:textAlignment w:val="center"/>
              <w:rPr>
                <w:rFonts w:hint="default" w:ascii="Times New Roman" w:hAnsi="Times New Roman" w:cs="Times New Roman"/>
                <w:b/>
                <w:bCs/>
                <w:i w:val="0"/>
                <w:iCs w:val="0"/>
                <w:color w:val="FFFFFF"/>
                <w:sz w:val="22"/>
                <w:szCs w:val="22"/>
                <w:u w:val="none"/>
              </w:rPr>
            </w:pPr>
            <w:r>
              <w:rPr>
                <w:rFonts w:hint="default" w:ascii="Times New Roman" w:hAnsi="Times New Roman" w:eastAsia="SimSun" w:cs="Times New Roman"/>
                <w:b/>
                <w:bCs/>
                <w:i w:val="0"/>
                <w:iCs w:val="0"/>
                <w:color w:val="FFFFFF"/>
                <w:kern w:val="0"/>
                <w:sz w:val="22"/>
                <w:szCs w:val="22"/>
                <w:u w:val="none"/>
                <w:lang w:val="en-US" w:eastAsia="zh-CN" w:bidi="ar"/>
              </w:rPr>
              <w:t>Mann–Whitney U</w:t>
            </w:r>
          </w:p>
        </w:tc>
        <w:tc>
          <w:tcPr>
            <w:tcW w:w="1138" w:type="dxa"/>
            <w:tcBorders>
              <w:top w:val="single" w:color="000000" w:sz="4" w:space="0"/>
              <w:left w:val="single" w:color="000000" w:sz="4" w:space="0"/>
              <w:bottom w:val="single" w:color="000000" w:sz="4" w:space="0"/>
              <w:right w:val="single" w:color="000000" w:sz="4" w:space="0"/>
            </w:tcBorders>
            <w:shd w:val="clear" w:color="auto" w:fill="24476B"/>
            <w:vAlign w:val="center"/>
          </w:tcPr>
          <w:p w14:paraId="0B7A4E5E">
            <w:pPr>
              <w:keepNext w:val="0"/>
              <w:keepLines w:val="0"/>
              <w:widowControl/>
              <w:suppressLineNumbers w:val="0"/>
              <w:jc w:val="center"/>
              <w:textAlignment w:val="center"/>
              <w:rPr>
                <w:rFonts w:hint="default" w:ascii="Times New Roman" w:hAnsi="Times New Roman" w:cs="Times New Roman"/>
                <w:b/>
                <w:bCs/>
                <w:i w:val="0"/>
                <w:iCs w:val="0"/>
                <w:color w:val="FFFFFF"/>
                <w:sz w:val="22"/>
                <w:szCs w:val="22"/>
                <w:u w:val="none"/>
              </w:rPr>
            </w:pPr>
            <w:r>
              <w:rPr>
                <w:rFonts w:hint="default" w:ascii="Times New Roman" w:hAnsi="Times New Roman" w:eastAsia="SimSun" w:cs="Times New Roman"/>
                <w:b/>
                <w:bCs/>
                <w:i w:val="0"/>
                <w:iCs w:val="0"/>
                <w:color w:val="FFFFFF"/>
                <w:kern w:val="0"/>
                <w:sz w:val="22"/>
                <w:szCs w:val="22"/>
                <w:u w:val="none"/>
                <w:lang w:val="en-US" w:eastAsia="zh-CN" w:bidi="ar"/>
              </w:rPr>
              <w:t>Rank-biserial r</w:t>
            </w:r>
          </w:p>
        </w:tc>
        <w:tc>
          <w:tcPr>
            <w:tcW w:w="953" w:type="dxa"/>
            <w:tcBorders>
              <w:top w:val="single" w:color="000000" w:sz="4" w:space="0"/>
              <w:left w:val="single" w:color="000000" w:sz="4" w:space="0"/>
              <w:bottom w:val="single" w:color="000000" w:sz="4" w:space="0"/>
              <w:right w:val="single" w:color="000000" w:sz="4" w:space="0"/>
            </w:tcBorders>
            <w:shd w:val="clear" w:color="auto" w:fill="24476B"/>
            <w:vAlign w:val="center"/>
          </w:tcPr>
          <w:p w14:paraId="5940FCEF">
            <w:pPr>
              <w:keepNext w:val="0"/>
              <w:keepLines w:val="0"/>
              <w:widowControl/>
              <w:suppressLineNumbers w:val="0"/>
              <w:jc w:val="center"/>
              <w:textAlignment w:val="center"/>
              <w:rPr>
                <w:rFonts w:hint="default" w:ascii="Times New Roman" w:hAnsi="Times New Roman" w:cs="Times New Roman"/>
                <w:b/>
                <w:bCs/>
                <w:i w:val="0"/>
                <w:iCs w:val="0"/>
                <w:color w:val="FFFFFF"/>
                <w:sz w:val="22"/>
                <w:szCs w:val="22"/>
                <w:u w:val="none"/>
              </w:rPr>
            </w:pPr>
            <w:r>
              <w:rPr>
                <w:rFonts w:hint="default" w:ascii="Times New Roman" w:hAnsi="Times New Roman" w:eastAsia="SimSun" w:cs="Times New Roman"/>
                <w:b/>
                <w:bCs/>
                <w:i w:val="0"/>
                <w:iCs w:val="0"/>
                <w:color w:val="FFFFFF"/>
                <w:kern w:val="0"/>
                <w:sz w:val="22"/>
                <w:szCs w:val="22"/>
                <w:u w:val="none"/>
                <w:lang w:val="en-US" w:eastAsia="zh-CN" w:bidi="ar"/>
              </w:rPr>
              <w:t>Raw p</w:t>
            </w:r>
          </w:p>
        </w:tc>
        <w:tc>
          <w:tcPr>
            <w:tcW w:w="1080" w:type="dxa"/>
            <w:tcBorders>
              <w:top w:val="single" w:color="000000" w:sz="4" w:space="0"/>
              <w:left w:val="single" w:color="000000" w:sz="4" w:space="0"/>
              <w:bottom w:val="single" w:color="000000" w:sz="4" w:space="0"/>
              <w:right w:val="single" w:color="000000" w:sz="4" w:space="0"/>
            </w:tcBorders>
            <w:shd w:val="clear" w:color="auto" w:fill="24476B"/>
            <w:vAlign w:val="center"/>
          </w:tcPr>
          <w:p w14:paraId="23CCFDA1">
            <w:pPr>
              <w:keepNext w:val="0"/>
              <w:keepLines w:val="0"/>
              <w:widowControl/>
              <w:suppressLineNumbers w:val="0"/>
              <w:jc w:val="center"/>
              <w:textAlignment w:val="center"/>
              <w:rPr>
                <w:rFonts w:hint="default" w:ascii="Times New Roman" w:hAnsi="Times New Roman" w:cs="Times New Roman"/>
                <w:b/>
                <w:bCs/>
                <w:i w:val="0"/>
                <w:iCs w:val="0"/>
                <w:color w:val="FFFFFF"/>
                <w:sz w:val="22"/>
                <w:szCs w:val="22"/>
                <w:u w:val="none"/>
              </w:rPr>
            </w:pPr>
            <w:r>
              <w:rPr>
                <w:rFonts w:hint="default" w:ascii="Times New Roman" w:hAnsi="Times New Roman" w:eastAsia="SimSun" w:cs="Times New Roman"/>
                <w:b/>
                <w:bCs/>
                <w:i w:val="0"/>
                <w:iCs w:val="0"/>
                <w:color w:val="FFFFFF"/>
                <w:kern w:val="0"/>
                <w:sz w:val="22"/>
                <w:szCs w:val="22"/>
                <w:u w:val="none"/>
                <w:lang w:val="en-US" w:eastAsia="zh-CN" w:bidi="ar"/>
              </w:rPr>
              <w:t>Holm-adjusted p</w:t>
            </w:r>
          </w:p>
        </w:tc>
        <w:tc>
          <w:tcPr>
            <w:tcW w:w="1430" w:type="dxa"/>
            <w:tcBorders>
              <w:top w:val="single" w:color="000000" w:sz="4" w:space="0"/>
              <w:left w:val="single" w:color="000000" w:sz="4" w:space="0"/>
              <w:bottom w:val="single" w:color="000000" w:sz="4" w:space="0"/>
              <w:right w:val="single" w:color="000000" w:sz="4" w:space="0"/>
            </w:tcBorders>
            <w:shd w:val="clear" w:color="auto" w:fill="24476B"/>
            <w:vAlign w:val="center"/>
          </w:tcPr>
          <w:p w14:paraId="4CBCF99A">
            <w:pPr>
              <w:keepNext w:val="0"/>
              <w:keepLines w:val="0"/>
              <w:widowControl/>
              <w:suppressLineNumbers w:val="0"/>
              <w:jc w:val="center"/>
              <w:textAlignment w:val="center"/>
              <w:rPr>
                <w:rFonts w:hint="default" w:ascii="Times New Roman" w:hAnsi="Times New Roman" w:cs="Times New Roman"/>
                <w:b/>
                <w:bCs/>
                <w:i w:val="0"/>
                <w:iCs w:val="0"/>
                <w:color w:val="FFFFFF"/>
                <w:sz w:val="22"/>
                <w:szCs w:val="22"/>
                <w:u w:val="none"/>
              </w:rPr>
            </w:pPr>
            <w:r>
              <w:rPr>
                <w:rFonts w:hint="default" w:ascii="Times New Roman" w:hAnsi="Times New Roman" w:eastAsia="SimSun" w:cs="Times New Roman"/>
                <w:b/>
                <w:bCs/>
                <w:i w:val="0"/>
                <w:iCs w:val="0"/>
                <w:color w:val="FFFFFF"/>
                <w:kern w:val="0"/>
                <w:sz w:val="22"/>
                <w:szCs w:val="22"/>
                <w:u w:val="none"/>
                <w:lang w:val="en-US" w:eastAsia="zh-CN" w:bidi="ar"/>
              </w:rPr>
              <w:t>BH-adjusted p</w:t>
            </w:r>
          </w:p>
        </w:tc>
      </w:tr>
      <w:tr w14:paraId="4E757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27DE53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FL</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06B7F1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Arts/Humanities</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082024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Business/Commerce</w:t>
            </w:r>
          </w:p>
        </w:tc>
        <w:tc>
          <w:tcPr>
            <w:tcW w:w="746"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34858C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120</w:t>
            </w:r>
          </w:p>
        </w:tc>
        <w:tc>
          <w:tcPr>
            <w:tcW w:w="60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DD2F1B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146</w:t>
            </w:r>
          </w:p>
        </w:tc>
        <w:tc>
          <w:tcPr>
            <w:tcW w:w="841"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2F3FE5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2.2000</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2C7FE71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4.2534</w:t>
            </w:r>
          </w:p>
        </w:tc>
        <w:tc>
          <w:tcPr>
            <w:tcW w:w="113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1E46196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2,313.0</w:t>
            </w:r>
          </w:p>
        </w:tc>
        <w:tc>
          <w:tcPr>
            <w:tcW w:w="1138"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34AB70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-0.7360</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FF213E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0.0000</w:t>
            </w:r>
          </w:p>
        </w:tc>
        <w:tc>
          <w:tcPr>
            <w:tcW w:w="108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3A6C3F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0.0000</w:t>
            </w:r>
          </w:p>
        </w:tc>
        <w:tc>
          <w:tcPr>
            <w:tcW w:w="143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2374916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0.0000</w:t>
            </w:r>
          </w:p>
        </w:tc>
      </w:tr>
      <w:tr w14:paraId="75560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970D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FL</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D589C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Arts/Humanities</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A72C2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Medical/Health</w:t>
            </w:r>
          </w:p>
        </w:tc>
        <w:tc>
          <w:tcPr>
            <w:tcW w:w="7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A4470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120</w:t>
            </w:r>
          </w:p>
        </w:tc>
        <w:tc>
          <w:tcPr>
            <w:tcW w:w="6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349A9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113</w:t>
            </w:r>
          </w:p>
        </w:tc>
        <w:tc>
          <w:tcPr>
            <w:tcW w:w="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0348B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2.2000</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37094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2.4336</w:t>
            </w:r>
          </w:p>
        </w:tc>
        <w:tc>
          <w:tcPr>
            <w:tcW w:w="11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0E44E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6,164.0</w:t>
            </w:r>
          </w:p>
        </w:tc>
        <w:tc>
          <w:tcPr>
            <w:tcW w:w="1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CADE4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-0.0909</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A94A4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0.2183</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3B9CC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0.2183</w:t>
            </w:r>
          </w:p>
        </w:tc>
        <w:tc>
          <w:tcPr>
            <w:tcW w:w="14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D4FA5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0.3329</w:t>
            </w:r>
          </w:p>
        </w:tc>
      </w:tr>
      <w:tr w14:paraId="75F0A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257BD34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FL</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5EA1BE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Arts/Humanities</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61C307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Science/Engineering</w:t>
            </w:r>
          </w:p>
        </w:tc>
        <w:tc>
          <w:tcPr>
            <w:tcW w:w="746"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2D42152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120</w:t>
            </w:r>
          </w:p>
        </w:tc>
        <w:tc>
          <w:tcPr>
            <w:tcW w:w="60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CE4F56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156</w:t>
            </w:r>
          </w:p>
        </w:tc>
        <w:tc>
          <w:tcPr>
            <w:tcW w:w="841"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1412DE5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2.2000</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5F597B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2.8974</w:t>
            </w:r>
          </w:p>
        </w:tc>
        <w:tc>
          <w:tcPr>
            <w:tcW w:w="113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62AF9F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6,636.5</w:t>
            </w:r>
          </w:p>
        </w:tc>
        <w:tc>
          <w:tcPr>
            <w:tcW w:w="1138"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0805B3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-0.2910</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3E3B89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0.0000</w:t>
            </w:r>
          </w:p>
        </w:tc>
        <w:tc>
          <w:tcPr>
            <w:tcW w:w="108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3E3181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0.0001</w:t>
            </w:r>
          </w:p>
        </w:tc>
        <w:tc>
          <w:tcPr>
            <w:tcW w:w="143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24ED964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0.0002</w:t>
            </w:r>
          </w:p>
        </w:tc>
      </w:tr>
      <w:tr w14:paraId="3179C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F7089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FL</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9CB87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Business/Commerce</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354CB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Medical/Health</w:t>
            </w:r>
          </w:p>
        </w:tc>
        <w:tc>
          <w:tcPr>
            <w:tcW w:w="7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36B0F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146</w:t>
            </w:r>
          </w:p>
        </w:tc>
        <w:tc>
          <w:tcPr>
            <w:tcW w:w="6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AEAFC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113</w:t>
            </w:r>
          </w:p>
        </w:tc>
        <w:tc>
          <w:tcPr>
            <w:tcW w:w="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4199D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4.2534</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6C871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2.4336</w:t>
            </w:r>
          </w:p>
        </w:tc>
        <w:tc>
          <w:tcPr>
            <w:tcW w:w="11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DFDED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13,895.0</w:t>
            </w:r>
          </w:p>
        </w:tc>
        <w:tc>
          <w:tcPr>
            <w:tcW w:w="1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08A7B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0.6844</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DE5BA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0.0000</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04C0B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0.0000</w:t>
            </w:r>
          </w:p>
        </w:tc>
        <w:tc>
          <w:tcPr>
            <w:tcW w:w="14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AECC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0.0000</w:t>
            </w:r>
          </w:p>
        </w:tc>
      </w:tr>
      <w:tr w14:paraId="61877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2FADAEF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FL</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135F9F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Business/Commerce</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8A6E91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Science/Engineering</w:t>
            </w:r>
          </w:p>
        </w:tc>
        <w:tc>
          <w:tcPr>
            <w:tcW w:w="746"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F8E4BC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146</w:t>
            </w:r>
          </w:p>
        </w:tc>
        <w:tc>
          <w:tcPr>
            <w:tcW w:w="60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1A4F5A9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156</w:t>
            </w:r>
          </w:p>
        </w:tc>
        <w:tc>
          <w:tcPr>
            <w:tcW w:w="841"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1BEFFA7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4.2534</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2AFC888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2.8974</w:t>
            </w:r>
          </w:p>
        </w:tc>
        <w:tc>
          <w:tcPr>
            <w:tcW w:w="113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19C664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18,010.0</w:t>
            </w:r>
          </w:p>
        </w:tc>
        <w:tc>
          <w:tcPr>
            <w:tcW w:w="1138"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2CFADAB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0.5815</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0B1DD2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0.0000</w:t>
            </w:r>
          </w:p>
        </w:tc>
        <w:tc>
          <w:tcPr>
            <w:tcW w:w="108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1F3CC8A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0.0000</w:t>
            </w:r>
          </w:p>
        </w:tc>
        <w:tc>
          <w:tcPr>
            <w:tcW w:w="143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233A358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0.0000</w:t>
            </w:r>
          </w:p>
        </w:tc>
      </w:tr>
      <w:tr w14:paraId="7747E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D04FA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FL</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91F48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Medical/Health</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155DF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Science/Engineering</w:t>
            </w:r>
          </w:p>
        </w:tc>
        <w:tc>
          <w:tcPr>
            <w:tcW w:w="7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EBA85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113</w:t>
            </w:r>
          </w:p>
        </w:tc>
        <w:tc>
          <w:tcPr>
            <w:tcW w:w="6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C2C9D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156</w:t>
            </w:r>
          </w:p>
        </w:tc>
        <w:tc>
          <w:tcPr>
            <w:tcW w:w="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0231E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2.4336</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417FA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2.8974</w:t>
            </w:r>
          </w:p>
        </w:tc>
        <w:tc>
          <w:tcPr>
            <w:tcW w:w="11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B1422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6,989.5</w:t>
            </w:r>
          </w:p>
        </w:tc>
        <w:tc>
          <w:tcPr>
            <w:tcW w:w="1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17303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-0.2070</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03B51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0.0026</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CCFC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0.0052</w:t>
            </w:r>
          </w:p>
        </w:tc>
        <w:tc>
          <w:tcPr>
            <w:tcW w:w="14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E03F0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0.0079</w:t>
            </w:r>
          </w:p>
        </w:tc>
      </w:tr>
      <w:tr w14:paraId="01368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1FA806E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FMB</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2AEDDFA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Arts/Humanities</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5D28B0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Business/Commerce</w:t>
            </w:r>
          </w:p>
        </w:tc>
        <w:tc>
          <w:tcPr>
            <w:tcW w:w="746"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5E3783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120</w:t>
            </w:r>
          </w:p>
        </w:tc>
        <w:tc>
          <w:tcPr>
            <w:tcW w:w="60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2DADB3A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146</w:t>
            </w:r>
          </w:p>
        </w:tc>
        <w:tc>
          <w:tcPr>
            <w:tcW w:w="841"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41DB75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3.2750</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F6B675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3.3607</w:t>
            </w:r>
          </w:p>
        </w:tc>
        <w:tc>
          <w:tcPr>
            <w:tcW w:w="113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11FC761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8,348.0</w:t>
            </w:r>
          </w:p>
        </w:tc>
        <w:tc>
          <w:tcPr>
            <w:tcW w:w="1138"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C5F9F8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-0.0470</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20345E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0.5077</w:t>
            </w:r>
          </w:p>
        </w:tc>
        <w:tc>
          <w:tcPr>
            <w:tcW w:w="108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5A3482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1.0000</w:t>
            </w:r>
          </w:p>
        </w:tc>
        <w:tc>
          <w:tcPr>
            <w:tcW w:w="143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1134454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0.6303</w:t>
            </w:r>
          </w:p>
        </w:tc>
      </w:tr>
      <w:tr w14:paraId="4A211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35A59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FMB</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26931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Arts/Humanities</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319FC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Medical/Health</w:t>
            </w:r>
          </w:p>
        </w:tc>
        <w:tc>
          <w:tcPr>
            <w:tcW w:w="7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CDC53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120</w:t>
            </w:r>
          </w:p>
        </w:tc>
        <w:tc>
          <w:tcPr>
            <w:tcW w:w="6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DA323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113</w:t>
            </w:r>
          </w:p>
        </w:tc>
        <w:tc>
          <w:tcPr>
            <w:tcW w:w="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607EA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3.2750</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806C0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3.2891</w:t>
            </w:r>
          </w:p>
        </w:tc>
        <w:tc>
          <w:tcPr>
            <w:tcW w:w="11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EB83E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6,718.0</w:t>
            </w:r>
          </w:p>
        </w:tc>
        <w:tc>
          <w:tcPr>
            <w:tcW w:w="1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1729A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-0.0091</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BFD4A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0.9043</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128DA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1.0000</w:t>
            </w:r>
          </w:p>
        </w:tc>
        <w:tc>
          <w:tcPr>
            <w:tcW w:w="14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F0310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0.9043</w:t>
            </w:r>
          </w:p>
        </w:tc>
      </w:tr>
      <w:tr w14:paraId="3763E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8E1BFC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FMB</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CD02EB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Arts/Humanities</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BE9EAF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Science/Engineering</w:t>
            </w:r>
          </w:p>
        </w:tc>
        <w:tc>
          <w:tcPr>
            <w:tcW w:w="746"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28B2FC6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120</w:t>
            </w:r>
          </w:p>
        </w:tc>
        <w:tc>
          <w:tcPr>
            <w:tcW w:w="60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195774C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156</w:t>
            </w:r>
          </w:p>
        </w:tc>
        <w:tc>
          <w:tcPr>
            <w:tcW w:w="841"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3AB00D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3.2750</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A431A3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3.0491</w:t>
            </w:r>
          </w:p>
        </w:tc>
        <w:tc>
          <w:tcPr>
            <w:tcW w:w="113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8485FC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10,578.0</w:t>
            </w:r>
          </w:p>
        </w:tc>
        <w:tc>
          <w:tcPr>
            <w:tcW w:w="1138"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1186D6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0.1301</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211C8D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0.0626</w:t>
            </w:r>
          </w:p>
        </w:tc>
        <w:tc>
          <w:tcPr>
            <w:tcW w:w="108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1A4BA72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0.2503</w:t>
            </w:r>
          </w:p>
        </w:tc>
        <w:tc>
          <w:tcPr>
            <w:tcW w:w="143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1FACB93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0.1186</w:t>
            </w:r>
          </w:p>
        </w:tc>
      </w:tr>
      <w:tr w14:paraId="34A80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083BA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FMB</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64310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Business/Commerce</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7EFE6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Medical/Health</w:t>
            </w:r>
          </w:p>
        </w:tc>
        <w:tc>
          <w:tcPr>
            <w:tcW w:w="7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58BD4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146</w:t>
            </w:r>
          </w:p>
        </w:tc>
        <w:tc>
          <w:tcPr>
            <w:tcW w:w="6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9D56E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113</w:t>
            </w:r>
          </w:p>
        </w:tc>
        <w:tc>
          <w:tcPr>
            <w:tcW w:w="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B1C55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3.3607</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0A5CB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3.2891</w:t>
            </w:r>
          </w:p>
        </w:tc>
        <w:tc>
          <w:tcPr>
            <w:tcW w:w="11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94BDE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8,576.5</w:t>
            </w:r>
          </w:p>
        </w:tc>
        <w:tc>
          <w:tcPr>
            <w:tcW w:w="1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41282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0.0397</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D25B3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0.5824</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76E59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1.0000</w:t>
            </w:r>
          </w:p>
        </w:tc>
        <w:tc>
          <w:tcPr>
            <w:tcW w:w="14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F4E0C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0.6763</w:t>
            </w:r>
          </w:p>
        </w:tc>
      </w:tr>
      <w:tr w14:paraId="51A44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A98960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FMB</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40675C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Business/Commerce</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A7E849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Science/Engineering</w:t>
            </w:r>
          </w:p>
        </w:tc>
        <w:tc>
          <w:tcPr>
            <w:tcW w:w="746"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EC3242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146</w:t>
            </w:r>
          </w:p>
        </w:tc>
        <w:tc>
          <w:tcPr>
            <w:tcW w:w="60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5E58FF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156</w:t>
            </w:r>
          </w:p>
        </w:tc>
        <w:tc>
          <w:tcPr>
            <w:tcW w:w="841"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FDEAD0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3.3607</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3F5AB3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3.0491</w:t>
            </w:r>
          </w:p>
        </w:tc>
        <w:tc>
          <w:tcPr>
            <w:tcW w:w="113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D1ECDA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13,462.5</w:t>
            </w:r>
          </w:p>
        </w:tc>
        <w:tc>
          <w:tcPr>
            <w:tcW w:w="1138"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3200EE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0.1822</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CF15E9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0.0060</w:t>
            </w:r>
          </w:p>
        </w:tc>
        <w:tc>
          <w:tcPr>
            <w:tcW w:w="108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B3A6CD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0.0359</w:t>
            </w:r>
          </w:p>
        </w:tc>
        <w:tc>
          <w:tcPr>
            <w:tcW w:w="143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0C3F37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0.0165</w:t>
            </w:r>
          </w:p>
        </w:tc>
      </w:tr>
      <w:tr w14:paraId="74B31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A8D19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FMB</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5377A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Medical/Health</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C86DF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Science/Engineering</w:t>
            </w:r>
          </w:p>
        </w:tc>
        <w:tc>
          <w:tcPr>
            <w:tcW w:w="7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3A71E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113</w:t>
            </w:r>
          </w:p>
        </w:tc>
        <w:tc>
          <w:tcPr>
            <w:tcW w:w="6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1ADF4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156</w:t>
            </w:r>
          </w:p>
        </w:tc>
        <w:tc>
          <w:tcPr>
            <w:tcW w:w="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04BD0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3.2891</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59336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3.0491</w:t>
            </w:r>
          </w:p>
        </w:tc>
        <w:tc>
          <w:tcPr>
            <w:tcW w:w="11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62BE4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10,087.0</w:t>
            </w:r>
          </w:p>
        </w:tc>
        <w:tc>
          <w:tcPr>
            <w:tcW w:w="1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0D738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0.1444</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447DB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0.0422</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94282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0.2109</w:t>
            </w:r>
          </w:p>
        </w:tc>
        <w:tc>
          <w:tcPr>
            <w:tcW w:w="14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96ADE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0.0843</w:t>
            </w:r>
          </w:p>
        </w:tc>
      </w:tr>
      <w:tr w14:paraId="2269C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533FC0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ISB</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353CCF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Arts/Humanities</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762C89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Business/Commerce</w:t>
            </w:r>
          </w:p>
        </w:tc>
        <w:tc>
          <w:tcPr>
            <w:tcW w:w="746"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5B5743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120</w:t>
            </w:r>
          </w:p>
        </w:tc>
        <w:tc>
          <w:tcPr>
            <w:tcW w:w="60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3B8155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146</w:t>
            </w:r>
          </w:p>
        </w:tc>
        <w:tc>
          <w:tcPr>
            <w:tcW w:w="841"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6590C1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2.8000</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1686F9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3.2808</w:t>
            </w:r>
          </w:p>
        </w:tc>
        <w:tc>
          <w:tcPr>
            <w:tcW w:w="113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137266F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6,487.0</w:t>
            </w:r>
          </w:p>
        </w:tc>
        <w:tc>
          <w:tcPr>
            <w:tcW w:w="1138"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275A4E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-0.2595</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755DB9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0.0003</w:t>
            </w:r>
          </w:p>
        </w:tc>
        <w:tc>
          <w:tcPr>
            <w:tcW w:w="108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F56DA5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0.0013</w:t>
            </w:r>
          </w:p>
        </w:tc>
        <w:tc>
          <w:tcPr>
            <w:tcW w:w="143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04D820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0.0013</w:t>
            </w:r>
          </w:p>
        </w:tc>
      </w:tr>
      <w:tr w14:paraId="2EBFA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3FD46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ISB</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4CAB8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Arts/Humanities</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74115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Medical/Health</w:t>
            </w:r>
          </w:p>
        </w:tc>
        <w:tc>
          <w:tcPr>
            <w:tcW w:w="7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CEB74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120</w:t>
            </w:r>
          </w:p>
        </w:tc>
        <w:tc>
          <w:tcPr>
            <w:tcW w:w="6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8C7B1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113</w:t>
            </w:r>
          </w:p>
        </w:tc>
        <w:tc>
          <w:tcPr>
            <w:tcW w:w="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514E6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2.8000</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9EC7F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3.2596</w:t>
            </w:r>
          </w:p>
        </w:tc>
        <w:tc>
          <w:tcPr>
            <w:tcW w:w="11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06B2E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5,107.0</w:t>
            </w:r>
          </w:p>
        </w:tc>
        <w:tc>
          <w:tcPr>
            <w:tcW w:w="1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16688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-0.2468</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59CC9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0.0011</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9F620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0.0043</w:t>
            </w:r>
          </w:p>
        </w:tc>
        <w:tc>
          <w:tcPr>
            <w:tcW w:w="14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D9B01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0.0039</w:t>
            </w:r>
          </w:p>
        </w:tc>
      </w:tr>
      <w:tr w14:paraId="58E84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36D1DB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ISB</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ACC187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Arts/Humanities</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17851A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Science/Engineering</w:t>
            </w:r>
          </w:p>
        </w:tc>
        <w:tc>
          <w:tcPr>
            <w:tcW w:w="746"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6DE181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120</w:t>
            </w:r>
          </w:p>
        </w:tc>
        <w:tc>
          <w:tcPr>
            <w:tcW w:w="60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1A9973E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156</w:t>
            </w:r>
          </w:p>
        </w:tc>
        <w:tc>
          <w:tcPr>
            <w:tcW w:w="841"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6471F7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2.8000</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51054C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3.2671</w:t>
            </w:r>
          </w:p>
        </w:tc>
        <w:tc>
          <w:tcPr>
            <w:tcW w:w="113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1B9DFDF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6,944.0</w:t>
            </w:r>
          </w:p>
        </w:tc>
        <w:tc>
          <w:tcPr>
            <w:tcW w:w="1138"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F5F967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-0.2581</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EE3F13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0.0002</w:t>
            </w:r>
          </w:p>
        </w:tc>
        <w:tc>
          <w:tcPr>
            <w:tcW w:w="108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2A41443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0.0013</w:t>
            </w:r>
          </w:p>
        </w:tc>
        <w:tc>
          <w:tcPr>
            <w:tcW w:w="143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FC26AC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0.0013</w:t>
            </w:r>
          </w:p>
        </w:tc>
      </w:tr>
      <w:tr w14:paraId="4F752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4483C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ISB</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2453A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Business/Commerce</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DA2A8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Medical/Health</w:t>
            </w:r>
          </w:p>
        </w:tc>
        <w:tc>
          <w:tcPr>
            <w:tcW w:w="7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4334C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146</w:t>
            </w:r>
          </w:p>
        </w:tc>
        <w:tc>
          <w:tcPr>
            <w:tcW w:w="6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6E870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113</w:t>
            </w:r>
          </w:p>
        </w:tc>
        <w:tc>
          <w:tcPr>
            <w:tcW w:w="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B0813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3.2808</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BDAF0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3.2596</w:t>
            </w:r>
          </w:p>
        </w:tc>
        <w:tc>
          <w:tcPr>
            <w:tcW w:w="11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BCC79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8,393.0</w:t>
            </w:r>
          </w:p>
        </w:tc>
        <w:tc>
          <w:tcPr>
            <w:tcW w:w="1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DCF5B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0.0175</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F91F6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0.8094</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E85CA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1.0000</w:t>
            </w:r>
          </w:p>
        </w:tc>
        <w:tc>
          <w:tcPr>
            <w:tcW w:w="14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6D77F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0.9043</w:t>
            </w:r>
          </w:p>
        </w:tc>
      </w:tr>
      <w:tr w14:paraId="3675D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1429205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ISB</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66583E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Business/Commerce</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055277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Science/Engineering</w:t>
            </w:r>
          </w:p>
        </w:tc>
        <w:tc>
          <w:tcPr>
            <w:tcW w:w="746"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0E8A5D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146</w:t>
            </w:r>
          </w:p>
        </w:tc>
        <w:tc>
          <w:tcPr>
            <w:tcW w:w="60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22DC07E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156</w:t>
            </w:r>
          </w:p>
        </w:tc>
        <w:tc>
          <w:tcPr>
            <w:tcW w:w="841"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512427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3.2808</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65E748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3.2671</w:t>
            </w:r>
          </w:p>
        </w:tc>
        <w:tc>
          <w:tcPr>
            <w:tcW w:w="113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C71E1D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11,489.5</w:t>
            </w:r>
          </w:p>
        </w:tc>
        <w:tc>
          <w:tcPr>
            <w:tcW w:w="1138"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2D37015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0.0089</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1F9B7B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0.8934</w:t>
            </w:r>
          </w:p>
        </w:tc>
        <w:tc>
          <w:tcPr>
            <w:tcW w:w="108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55AF39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1.0000</w:t>
            </w:r>
          </w:p>
        </w:tc>
        <w:tc>
          <w:tcPr>
            <w:tcW w:w="143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E4AF97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0.9043</w:t>
            </w:r>
          </w:p>
        </w:tc>
      </w:tr>
      <w:tr w14:paraId="3E0F2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8E1CD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ISB</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1180D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Medical/Health</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5939B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Science/Engineering</w:t>
            </w:r>
          </w:p>
        </w:tc>
        <w:tc>
          <w:tcPr>
            <w:tcW w:w="7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F03D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113</w:t>
            </w:r>
          </w:p>
        </w:tc>
        <w:tc>
          <w:tcPr>
            <w:tcW w:w="6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8284E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156</w:t>
            </w:r>
          </w:p>
        </w:tc>
        <w:tc>
          <w:tcPr>
            <w:tcW w:w="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59DFF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3.2596</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D5610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3.2671</w:t>
            </w:r>
          </w:p>
        </w:tc>
        <w:tc>
          <w:tcPr>
            <w:tcW w:w="11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07E12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8,703.0</w:t>
            </w:r>
          </w:p>
        </w:tc>
        <w:tc>
          <w:tcPr>
            <w:tcW w:w="1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8934D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-0.0126</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3CAD3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0.8600</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5F755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1.0000</w:t>
            </w:r>
          </w:p>
        </w:tc>
        <w:tc>
          <w:tcPr>
            <w:tcW w:w="14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BF124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0.9043</w:t>
            </w:r>
          </w:p>
        </w:tc>
      </w:tr>
      <w:tr w14:paraId="46328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233EEB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SI</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93976C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Arts/Humanities</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2D3B9DC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Business/Commerce</w:t>
            </w:r>
          </w:p>
        </w:tc>
        <w:tc>
          <w:tcPr>
            <w:tcW w:w="746"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3EF83E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120</w:t>
            </w:r>
          </w:p>
        </w:tc>
        <w:tc>
          <w:tcPr>
            <w:tcW w:w="60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449C91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146</w:t>
            </w:r>
          </w:p>
        </w:tc>
        <w:tc>
          <w:tcPr>
            <w:tcW w:w="841"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1FAEAB8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3.2028</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3130C2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3.5046</w:t>
            </w:r>
          </w:p>
        </w:tc>
        <w:tc>
          <w:tcPr>
            <w:tcW w:w="113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4510B1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7,215.5</w:t>
            </w:r>
          </w:p>
        </w:tc>
        <w:tc>
          <w:tcPr>
            <w:tcW w:w="1138"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231A506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-0.1763</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ACA829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0.0128</w:t>
            </w:r>
          </w:p>
        </w:tc>
        <w:tc>
          <w:tcPr>
            <w:tcW w:w="108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1C9791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0.0512</w:t>
            </w:r>
          </w:p>
        </w:tc>
        <w:tc>
          <w:tcPr>
            <w:tcW w:w="143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6EC677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0.0307</w:t>
            </w:r>
          </w:p>
        </w:tc>
      </w:tr>
      <w:tr w14:paraId="3371E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5C550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SI</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35FEB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Arts/Humanities</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80F8E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Medical/Health</w:t>
            </w:r>
          </w:p>
        </w:tc>
        <w:tc>
          <w:tcPr>
            <w:tcW w:w="7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74DA0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120</w:t>
            </w:r>
          </w:p>
        </w:tc>
        <w:tc>
          <w:tcPr>
            <w:tcW w:w="6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CB9AE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113</w:t>
            </w:r>
          </w:p>
        </w:tc>
        <w:tc>
          <w:tcPr>
            <w:tcW w:w="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45CFC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3.2028</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86F6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3.6401</w:t>
            </w:r>
          </w:p>
        </w:tc>
        <w:tc>
          <w:tcPr>
            <w:tcW w:w="11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EAE60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5,037.0</w:t>
            </w:r>
          </w:p>
        </w:tc>
        <w:tc>
          <w:tcPr>
            <w:tcW w:w="1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81367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-0.2571</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E03AB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0.0006</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9DBBB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0.0032</w:t>
            </w:r>
          </w:p>
        </w:tc>
        <w:tc>
          <w:tcPr>
            <w:tcW w:w="14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4012F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0.0028</w:t>
            </w:r>
          </w:p>
        </w:tc>
      </w:tr>
      <w:tr w14:paraId="2DEC9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5676AF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SI</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631B82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Arts/Humanities</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06AF71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Science/Engineering</w:t>
            </w:r>
          </w:p>
        </w:tc>
        <w:tc>
          <w:tcPr>
            <w:tcW w:w="746"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FEC031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120</w:t>
            </w:r>
          </w:p>
        </w:tc>
        <w:tc>
          <w:tcPr>
            <w:tcW w:w="60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F0C413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156</w:t>
            </w:r>
          </w:p>
        </w:tc>
        <w:tc>
          <w:tcPr>
            <w:tcW w:w="841"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1BCABE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3.2028</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7DAE0C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3.6581</w:t>
            </w:r>
          </w:p>
        </w:tc>
        <w:tc>
          <w:tcPr>
            <w:tcW w:w="113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BC0D59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6,775.5</w:t>
            </w:r>
          </w:p>
        </w:tc>
        <w:tc>
          <w:tcPr>
            <w:tcW w:w="1138"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E317F3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-0.2761</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7CBCAC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0.0001</w:t>
            </w:r>
          </w:p>
        </w:tc>
        <w:tc>
          <w:tcPr>
            <w:tcW w:w="108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6FD8DE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0.0004</w:t>
            </w:r>
          </w:p>
        </w:tc>
        <w:tc>
          <w:tcPr>
            <w:tcW w:w="143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1D0F775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0.0005</w:t>
            </w:r>
          </w:p>
        </w:tc>
      </w:tr>
      <w:tr w14:paraId="6ECCC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B6C77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SI</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E33A7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Business/Commerce</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7CD5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Medical/Health</w:t>
            </w:r>
          </w:p>
        </w:tc>
        <w:tc>
          <w:tcPr>
            <w:tcW w:w="7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36AAA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146</w:t>
            </w:r>
          </w:p>
        </w:tc>
        <w:tc>
          <w:tcPr>
            <w:tcW w:w="6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2BE92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113</w:t>
            </w:r>
          </w:p>
        </w:tc>
        <w:tc>
          <w:tcPr>
            <w:tcW w:w="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6DCA1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3.5046</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A1ABE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3.6401</w:t>
            </w:r>
          </w:p>
        </w:tc>
        <w:tc>
          <w:tcPr>
            <w:tcW w:w="11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8FBC5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7,660.0</w:t>
            </w:r>
          </w:p>
        </w:tc>
        <w:tc>
          <w:tcPr>
            <w:tcW w:w="1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4F8C5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-0.0714</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2270B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0.3208</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04F7C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0.6657</w:t>
            </w:r>
          </w:p>
        </w:tc>
        <w:tc>
          <w:tcPr>
            <w:tcW w:w="14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3D06D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0.4442</w:t>
            </w:r>
          </w:p>
        </w:tc>
      </w:tr>
      <w:tr w14:paraId="33D5A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ACCEA9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SI</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0EEC2A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Business/Commerce</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BEC863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Science/Engineering</w:t>
            </w:r>
          </w:p>
        </w:tc>
        <w:tc>
          <w:tcPr>
            <w:tcW w:w="746"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3268F4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146</w:t>
            </w:r>
          </w:p>
        </w:tc>
        <w:tc>
          <w:tcPr>
            <w:tcW w:w="60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695CD6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156</w:t>
            </w:r>
          </w:p>
        </w:tc>
        <w:tc>
          <w:tcPr>
            <w:tcW w:w="841"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355269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3.5046</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1034A25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3.6581</w:t>
            </w:r>
          </w:p>
        </w:tc>
        <w:tc>
          <w:tcPr>
            <w:tcW w:w="113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17ED6E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10,471.5</w:t>
            </w:r>
          </w:p>
        </w:tc>
        <w:tc>
          <w:tcPr>
            <w:tcW w:w="1138"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6AA95C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-0.0805</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97A0EC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0.2219</w:t>
            </w:r>
          </w:p>
        </w:tc>
        <w:tc>
          <w:tcPr>
            <w:tcW w:w="108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44DFB4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0.6657</w:t>
            </w:r>
          </w:p>
        </w:tc>
        <w:tc>
          <w:tcPr>
            <w:tcW w:w="143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C32397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0.3329</w:t>
            </w:r>
          </w:p>
        </w:tc>
      </w:tr>
      <w:tr w14:paraId="0FC6C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39211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SI</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02C69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Medical/Health</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42EC3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Science/Engineering</w:t>
            </w:r>
          </w:p>
        </w:tc>
        <w:tc>
          <w:tcPr>
            <w:tcW w:w="7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BC301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113</w:t>
            </w:r>
          </w:p>
        </w:tc>
        <w:tc>
          <w:tcPr>
            <w:tcW w:w="6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7C3DC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156</w:t>
            </w:r>
          </w:p>
        </w:tc>
        <w:tc>
          <w:tcPr>
            <w:tcW w:w="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6C46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3.6401</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BAAE4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3.6581</w:t>
            </w:r>
          </w:p>
        </w:tc>
        <w:tc>
          <w:tcPr>
            <w:tcW w:w="11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57C08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8,726.0</w:t>
            </w:r>
          </w:p>
        </w:tc>
        <w:tc>
          <w:tcPr>
            <w:tcW w:w="1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751D1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-0.0100</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F6958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0.8881</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69DD4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0.8881</w:t>
            </w:r>
          </w:p>
        </w:tc>
        <w:tc>
          <w:tcPr>
            <w:tcW w:w="14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84E66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0.9043</w:t>
            </w:r>
          </w:p>
        </w:tc>
      </w:tr>
      <w:tr w14:paraId="484C7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CAB595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Q19</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219F62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Arts/Humanities</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13A580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Business/Commerce</w:t>
            </w:r>
          </w:p>
        </w:tc>
        <w:tc>
          <w:tcPr>
            <w:tcW w:w="746"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DE75A2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120</w:t>
            </w:r>
          </w:p>
        </w:tc>
        <w:tc>
          <w:tcPr>
            <w:tcW w:w="60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A43273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146</w:t>
            </w:r>
          </w:p>
        </w:tc>
        <w:tc>
          <w:tcPr>
            <w:tcW w:w="841"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B0D140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3.8167</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D2CBD4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3.9863</w:t>
            </w:r>
          </w:p>
        </w:tc>
        <w:tc>
          <w:tcPr>
            <w:tcW w:w="113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8BEA16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8,017.5</w:t>
            </w:r>
          </w:p>
        </w:tc>
        <w:tc>
          <w:tcPr>
            <w:tcW w:w="1138"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D49F8B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-0.0848</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5723EB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0.2052</w:t>
            </w:r>
          </w:p>
        </w:tc>
        <w:tc>
          <w:tcPr>
            <w:tcW w:w="108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BACD68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0.6155</w:t>
            </w:r>
          </w:p>
        </w:tc>
        <w:tc>
          <w:tcPr>
            <w:tcW w:w="143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84B278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0.3329</w:t>
            </w:r>
          </w:p>
        </w:tc>
      </w:tr>
      <w:tr w14:paraId="14FEA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EFBF3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Q19</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C9355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Arts/Humanities</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78D67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Medical/Health</w:t>
            </w:r>
          </w:p>
        </w:tc>
        <w:tc>
          <w:tcPr>
            <w:tcW w:w="7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8FAD9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120</w:t>
            </w:r>
          </w:p>
        </w:tc>
        <w:tc>
          <w:tcPr>
            <w:tcW w:w="6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4C764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113</w:t>
            </w:r>
          </w:p>
        </w:tc>
        <w:tc>
          <w:tcPr>
            <w:tcW w:w="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932A1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3.8167</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9E7BF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3.6814</w:t>
            </w:r>
          </w:p>
        </w:tc>
        <w:tc>
          <w:tcPr>
            <w:tcW w:w="11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15A1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7,271.0</w:t>
            </w:r>
          </w:p>
        </w:tc>
        <w:tc>
          <w:tcPr>
            <w:tcW w:w="1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609F2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0.0724</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9579F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0.3119</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513F4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0.6239</w:t>
            </w:r>
          </w:p>
        </w:tc>
        <w:tc>
          <w:tcPr>
            <w:tcW w:w="14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CB6B9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0.4442</w:t>
            </w:r>
          </w:p>
        </w:tc>
      </w:tr>
      <w:tr w14:paraId="734D8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AAF96D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Q19</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A0EBAB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Arts/Humanities</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EE2BA6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Science/Engineering</w:t>
            </w:r>
          </w:p>
        </w:tc>
        <w:tc>
          <w:tcPr>
            <w:tcW w:w="746"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FB33AF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120</w:t>
            </w:r>
          </w:p>
        </w:tc>
        <w:tc>
          <w:tcPr>
            <w:tcW w:w="60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0B56BC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156</w:t>
            </w:r>
          </w:p>
        </w:tc>
        <w:tc>
          <w:tcPr>
            <w:tcW w:w="841"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24DF61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3.8167</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DF7ABF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3.5769</w:t>
            </w:r>
          </w:p>
        </w:tc>
        <w:tc>
          <w:tcPr>
            <w:tcW w:w="113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CECDD8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10,439.0</w:t>
            </w:r>
          </w:p>
        </w:tc>
        <w:tc>
          <w:tcPr>
            <w:tcW w:w="1138"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7A3B79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0.1153</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A7A3AF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0.0802</w:t>
            </w:r>
          </w:p>
        </w:tc>
        <w:tc>
          <w:tcPr>
            <w:tcW w:w="108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3281D6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0.3206</w:t>
            </w:r>
          </w:p>
        </w:tc>
        <w:tc>
          <w:tcPr>
            <w:tcW w:w="143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9223FB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0.1374</w:t>
            </w:r>
          </w:p>
        </w:tc>
      </w:tr>
      <w:tr w14:paraId="2FAD8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3DBB2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Q19</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33E1A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Business/Commerce</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5A63B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Medical/Health</w:t>
            </w:r>
          </w:p>
        </w:tc>
        <w:tc>
          <w:tcPr>
            <w:tcW w:w="7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7C917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146</w:t>
            </w:r>
          </w:p>
        </w:tc>
        <w:tc>
          <w:tcPr>
            <w:tcW w:w="6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4EBD1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113</w:t>
            </w:r>
          </w:p>
        </w:tc>
        <w:tc>
          <w:tcPr>
            <w:tcW w:w="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E0839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3.9863</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1B0FB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3.6814</w:t>
            </w:r>
          </w:p>
        </w:tc>
        <w:tc>
          <w:tcPr>
            <w:tcW w:w="11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29286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9,514.5</w:t>
            </w:r>
          </w:p>
        </w:tc>
        <w:tc>
          <w:tcPr>
            <w:tcW w:w="1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7B84A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0.1534</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ECDCC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0.0260</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065B4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0.1300</w:t>
            </w:r>
          </w:p>
        </w:tc>
        <w:tc>
          <w:tcPr>
            <w:tcW w:w="14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F47DF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0.0551</w:t>
            </w:r>
          </w:p>
        </w:tc>
      </w:tr>
      <w:tr w14:paraId="3BB3B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38D357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Q19</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60C23F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Business/Commerce</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B93D75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Science/Engineering</w:t>
            </w:r>
          </w:p>
        </w:tc>
        <w:tc>
          <w:tcPr>
            <w:tcW w:w="746"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2813F43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146</w:t>
            </w:r>
          </w:p>
        </w:tc>
        <w:tc>
          <w:tcPr>
            <w:tcW w:w="60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8FAD0F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156</w:t>
            </w:r>
          </w:p>
        </w:tc>
        <w:tc>
          <w:tcPr>
            <w:tcW w:w="841"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039BF1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3.9863</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81D8BA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3.5769</w:t>
            </w:r>
          </w:p>
        </w:tc>
        <w:tc>
          <w:tcPr>
            <w:tcW w:w="113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CF2120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13,660.5</w:t>
            </w:r>
          </w:p>
        </w:tc>
        <w:tc>
          <w:tcPr>
            <w:tcW w:w="1138"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15D1437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0.1996</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1D525AE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0.0016</w:t>
            </w:r>
          </w:p>
        </w:tc>
        <w:tc>
          <w:tcPr>
            <w:tcW w:w="108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CFAF7D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0.0094</w:t>
            </w:r>
          </w:p>
        </w:tc>
        <w:tc>
          <w:tcPr>
            <w:tcW w:w="143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56758E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0.0051</w:t>
            </w:r>
          </w:p>
        </w:tc>
      </w:tr>
      <w:tr w14:paraId="167D2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1C4D4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Q19</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2EFB3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Medical/Health</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3B940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Science/Engineering</w:t>
            </w:r>
          </w:p>
        </w:tc>
        <w:tc>
          <w:tcPr>
            <w:tcW w:w="7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4BE28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113</w:t>
            </w:r>
          </w:p>
        </w:tc>
        <w:tc>
          <w:tcPr>
            <w:tcW w:w="6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4703D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156</w:t>
            </w:r>
          </w:p>
        </w:tc>
        <w:tc>
          <w:tcPr>
            <w:tcW w:w="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A9141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3.6814</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71DB6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3.5769</w:t>
            </w:r>
          </w:p>
        </w:tc>
        <w:tc>
          <w:tcPr>
            <w:tcW w:w="11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88582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9,232.5</w:t>
            </w:r>
          </w:p>
        </w:tc>
        <w:tc>
          <w:tcPr>
            <w:tcW w:w="1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10697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0.0475</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F80E8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0.4851</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C6D92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0.6239</w:t>
            </w:r>
          </w:p>
        </w:tc>
        <w:tc>
          <w:tcPr>
            <w:tcW w:w="14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6190D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0.6237</w:t>
            </w:r>
          </w:p>
        </w:tc>
      </w:tr>
      <w:tr w14:paraId="21DC0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D95BA5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FFO</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C22538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Arts/Humanities</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E43AC1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Business/Commerce</w:t>
            </w:r>
          </w:p>
        </w:tc>
        <w:tc>
          <w:tcPr>
            <w:tcW w:w="746"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2444824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120</w:t>
            </w:r>
          </w:p>
        </w:tc>
        <w:tc>
          <w:tcPr>
            <w:tcW w:w="60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2F9B39C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146</w:t>
            </w:r>
          </w:p>
        </w:tc>
        <w:tc>
          <w:tcPr>
            <w:tcW w:w="841"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CF02D4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3.8083</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06D024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3.9110</w:t>
            </w:r>
          </w:p>
        </w:tc>
        <w:tc>
          <w:tcPr>
            <w:tcW w:w="113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5BE35A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8,339.0</w:t>
            </w:r>
          </w:p>
        </w:tc>
        <w:tc>
          <w:tcPr>
            <w:tcW w:w="1138"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CC32FF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-0.0481</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69CC9B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0.4742</w:t>
            </w:r>
          </w:p>
        </w:tc>
        <w:tc>
          <w:tcPr>
            <w:tcW w:w="108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6A84CE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0.9483</w:t>
            </w:r>
          </w:p>
        </w:tc>
        <w:tc>
          <w:tcPr>
            <w:tcW w:w="143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8D4BF0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0.6237</w:t>
            </w:r>
          </w:p>
        </w:tc>
      </w:tr>
      <w:tr w14:paraId="0D1E8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0AB44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FFO</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78643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Arts/Humanities</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844AF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Medical/Health</w:t>
            </w:r>
          </w:p>
        </w:tc>
        <w:tc>
          <w:tcPr>
            <w:tcW w:w="7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1399A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120</w:t>
            </w:r>
          </w:p>
        </w:tc>
        <w:tc>
          <w:tcPr>
            <w:tcW w:w="6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422E7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113</w:t>
            </w:r>
          </w:p>
        </w:tc>
        <w:tc>
          <w:tcPr>
            <w:tcW w:w="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330C5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3.8083</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2722E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3.6195</w:t>
            </w:r>
          </w:p>
        </w:tc>
        <w:tc>
          <w:tcPr>
            <w:tcW w:w="11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A91D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7,649.5</w:t>
            </w:r>
          </w:p>
        </w:tc>
        <w:tc>
          <w:tcPr>
            <w:tcW w:w="1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2233A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0.1282</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FF2BB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0.0742</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24D76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0.2227</w:t>
            </w:r>
          </w:p>
        </w:tc>
        <w:tc>
          <w:tcPr>
            <w:tcW w:w="14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B74CD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0.1336</w:t>
            </w:r>
          </w:p>
        </w:tc>
      </w:tr>
      <w:tr w14:paraId="02762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2161CB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FFO</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AA195C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Arts/Humanities</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331CE1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Science/Engineering</w:t>
            </w:r>
          </w:p>
        </w:tc>
        <w:tc>
          <w:tcPr>
            <w:tcW w:w="746"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14697F6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120</w:t>
            </w:r>
          </w:p>
        </w:tc>
        <w:tc>
          <w:tcPr>
            <w:tcW w:w="60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B3DEF2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156</w:t>
            </w:r>
          </w:p>
        </w:tc>
        <w:tc>
          <w:tcPr>
            <w:tcW w:w="841"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1174F4A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3.8083</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09F4DEC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3.5128</w:t>
            </w:r>
          </w:p>
        </w:tc>
        <w:tc>
          <w:tcPr>
            <w:tcW w:w="113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45A3E3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10,880.5</w:t>
            </w:r>
          </w:p>
        </w:tc>
        <w:tc>
          <w:tcPr>
            <w:tcW w:w="1138"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E0F481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0.1624</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0DCFF6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0.0148</w:t>
            </w:r>
          </w:p>
        </w:tc>
        <w:tc>
          <w:tcPr>
            <w:tcW w:w="108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14F6EB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0.0592</w:t>
            </w:r>
          </w:p>
        </w:tc>
        <w:tc>
          <w:tcPr>
            <w:tcW w:w="143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3AB531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0.0333</w:t>
            </w:r>
          </w:p>
        </w:tc>
      </w:tr>
      <w:tr w14:paraId="6ACF9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818F5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FFO</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4F397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Business/Commerce</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705BB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Medical/Health</w:t>
            </w:r>
          </w:p>
        </w:tc>
        <w:tc>
          <w:tcPr>
            <w:tcW w:w="7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20E91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146</w:t>
            </w:r>
          </w:p>
        </w:tc>
        <w:tc>
          <w:tcPr>
            <w:tcW w:w="6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AC97B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113</w:t>
            </w:r>
          </w:p>
        </w:tc>
        <w:tc>
          <w:tcPr>
            <w:tcW w:w="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E47A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3.9110</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55914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3.6195</w:t>
            </w:r>
          </w:p>
        </w:tc>
        <w:tc>
          <w:tcPr>
            <w:tcW w:w="11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4745E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9,748.0</w:t>
            </w:r>
          </w:p>
        </w:tc>
        <w:tc>
          <w:tcPr>
            <w:tcW w:w="1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02D76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0.1817</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19374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0.0079</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91BCB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0.0395</w:t>
            </w:r>
          </w:p>
        </w:tc>
        <w:tc>
          <w:tcPr>
            <w:tcW w:w="14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A801B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0.0203</w:t>
            </w:r>
          </w:p>
        </w:tc>
      </w:tr>
      <w:tr w14:paraId="57AE9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1C4EEFC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FFO</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915C2A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Business/Commerce</w:t>
            </w:r>
          </w:p>
        </w:tc>
        <w:tc>
          <w:tcPr>
            <w:tcW w:w="2044"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7AE8509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Science/Engineering</w:t>
            </w:r>
          </w:p>
        </w:tc>
        <w:tc>
          <w:tcPr>
            <w:tcW w:w="746"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B30FA3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146</w:t>
            </w:r>
          </w:p>
        </w:tc>
        <w:tc>
          <w:tcPr>
            <w:tcW w:w="60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3A81A8A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156</w:t>
            </w:r>
          </w:p>
        </w:tc>
        <w:tc>
          <w:tcPr>
            <w:tcW w:w="841"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9E48C4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3.9110</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2C5FC3C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3.5128</w:t>
            </w:r>
          </w:p>
        </w:tc>
        <w:tc>
          <w:tcPr>
            <w:tcW w:w="113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4B4AF5A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13,824.0</w:t>
            </w:r>
          </w:p>
        </w:tc>
        <w:tc>
          <w:tcPr>
            <w:tcW w:w="1138"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9ACB1C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0.2139</w:t>
            </w:r>
          </w:p>
        </w:tc>
        <w:tc>
          <w:tcPr>
            <w:tcW w:w="953"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69042A1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0.0007</w:t>
            </w:r>
          </w:p>
        </w:tc>
        <w:tc>
          <w:tcPr>
            <w:tcW w:w="108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5AECEAF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0.0041</w:t>
            </w:r>
          </w:p>
        </w:tc>
        <w:tc>
          <w:tcPr>
            <w:tcW w:w="1430" w:type="dxa"/>
            <w:tcBorders>
              <w:top w:val="single" w:color="000000" w:sz="4" w:space="0"/>
              <w:left w:val="single" w:color="000000" w:sz="4" w:space="0"/>
              <w:bottom w:val="single" w:color="000000" w:sz="4" w:space="0"/>
              <w:right w:val="single" w:color="000000" w:sz="4" w:space="0"/>
            </w:tcBorders>
            <w:shd w:val="clear" w:color="auto" w:fill="EDF3F8"/>
            <w:vAlign w:val="center"/>
          </w:tcPr>
          <w:p w14:paraId="22FBAB3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0.0028</w:t>
            </w:r>
          </w:p>
        </w:tc>
      </w:tr>
      <w:tr w14:paraId="0EFF1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66868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FFO</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565E4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Medical/Health</w:t>
            </w:r>
          </w:p>
        </w:tc>
        <w:tc>
          <w:tcPr>
            <w:tcW w:w="20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E4454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Science/Engineering</w:t>
            </w:r>
          </w:p>
        </w:tc>
        <w:tc>
          <w:tcPr>
            <w:tcW w:w="7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2D84F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113</w:t>
            </w:r>
          </w:p>
        </w:tc>
        <w:tc>
          <w:tcPr>
            <w:tcW w:w="6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DE706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156</w:t>
            </w:r>
          </w:p>
        </w:tc>
        <w:tc>
          <w:tcPr>
            <w:tcW w:w="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643F8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3.6195</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3C6FE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3.5128</w:t>
            </w:r>
          </w:p>
        </w:tc>
        <w:tc>
          <w:tcPr>
            <w:tcW w:w="11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5C6D9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9,174.5</w:t>
            </w:r>
          </w:p>
        </w:tc>
        <w:tc>
          <w:tcPr>
            <w:tcW w:w="1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3A919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0.0409</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15442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0.5465</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F19B4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0.9483</w:t>
            </w:r>
          </w:p>
        </w:tc>
        <w:tc>
          <w:tcPr>
            <w:tcW w:w="14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94ADF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0.6558</w:t>
            </w:r>
          </w:p>
        </w:tc>
      </w:tr>
    </w:tbl>
    <w:p w14:paraId="4B1AF5BC">
      <w:pPr>
        <w:pStyle w:val="4"/>
        <w:rPr>
          <w:rFonts w:hint="default" w:ascii="Times New Roman" w:hAnsi="Times New Roman" w:cs="Times New Roman"/>
          <w:sz w:val="22"/>
          <w:szCs w:val="22"/>
        </w:rPr>
      </w:pPr>
    </w:p>
    <w:p w14:paraId="352733F6">
      <w:pPr>
        <w:pStyle w:val="5"/>
        <w:keepNext w:val="0"/>
        <w:keepLines w:val="0"/>
        <w:widowControl/>
        <w:suppressLineNumbers w:val="0"/>
        <w:rPr>
          <w:rFonts w:hint="default" w:ascii="Times New Roman" w:hAnsi="Times New Roman" w:cs="Times New Roman"/>
          <w:b w:val="0"/>
          <w:bCs w:val="0"/>
          <w:sz w:val="22"/>
          <w:szCs w:val="22"/>
        </w:rPr>
      </w:pPr>
    </w:p>
    <w:p w14:paraId="2DF85093">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b w:val="0"/>
          <w:bCs w:val="0"/>
          <w:sz w:val="22"/>
          <w:szCs w:val="22"/>
        </w:rPr>
        <w:br w:type="textWrapping"/>
      </w:r>
    </w:p>
    <w:p w14:paraId="672F2B4F">
      <w:pPr>
        <w:pStyle w:val="4"/>
        <w:bidi w:val="0"/>
        <w:spacing w:before="0" w:after="140" w:line="276" w:lineRule="auto"/>
        <w:jc w:val="left"/>
        <w:rPr>
          <w:rFonts w:hint="default" w:ascii="Times New Roman" w:hAnsi="Times New Roman" w:cs="Times New Roman"/>
          <w:b/>
          <w:bCs/>
          <w:sz w:val="22"/>
          <w:szCs w:val="22"/>
        </w:rPr>
      </w:pPr>
    </w:p>
    <w:p w14:paraId="5812D28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br w:type="textWrapping"/>
      </w:r>
      <w:r>
        <w:rPr>
          <w:rFonts w:hint="default" w:ascii="Times New Roman" w:hAnsi="Times New Roman" w:cs="Times New Roman"/>
          <w:sz w:val="22"/>
          <w:szCs w:val="22"/>
        </w:rPr>
        <w:t xml:space="preserve">Table </w:t>
      </w:r>
      <w:r>
        <w:rPr>
          <w:rFonts w:hint="default" w:cs="Times New Roman"/>
          <w:sz w:val="22"/>
          <w:szCs w:val="22"/>
          <w:lang w:val="en-US"/>
        </w:rPr>
        <w:t xml:space="preserve">10: </w:t>
      </w:r>
      <w:r>
        <w:rPr>
          <w:rFonts w:hint="default" w:ascii="Times New Roman" w:hAnsi="Times New Roman" w:cs="Times New Roman"/>
          <w:sz w:val="22"/>
          <w:szCs w:val="22"/>
        </w:rPr>
        <w:t>Significant Pairwise Comparisons Across Academic Disciplines</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1"/>
        <w:gridCol w:w="1889"/>
        <w:gridCol w:w="1901"/>
        <w:gridCol w:w="832"/>
        <w:gridCol w:w="820"/>
        <w:gridCol w:w="850"/>
        <w:gridCol w:w="1517"/>
        <w:gridCol w:w="1678"/>
      </w:tblGrid>
      <w:tr w14:paraId="4A4E9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239456D5">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Outcome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4C1612">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Group A</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F8F69D">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Group B</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774A23">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Mean A</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5394446">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Mean B</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119FE2">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U</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919B43">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Rank-biserial 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2367709">
            <w:pPr>
              <w:pStyle w:val="19"/>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b/>
                <w:bCs/>
                <w:sz w:val="22"/>
                <w:szCs w:val="22"/>
              </w:rPr>
              <w:t>Holm-adjusted p</w:t>
            </w:r>
          </w:p>
        </w:tc>
      </w:tr>
      <w:tr w14:paraId="1B4CB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B0227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B1622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Arts/Humanities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322C0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Business/Commerce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D58A0D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2.200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C512A1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4.253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7D2DC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2,313.0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0B74F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−.736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4CE8283">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&lt; .001</w:t>
            </w:r>
          </w:p>
        </w:tc>
      </w:tr>
      <w:tr w14:paraId="45085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8EC3D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AF7C9F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Arts/Humanities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30082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Science/Engineering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48DFA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2.200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F5CBBF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2.897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4A94D5">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6,636.5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7C7E85">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−.291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7B8C9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.0001</w:t>
            </w:r>
          </w:p>
        </w:tc>
      </w:tr>
      <w:tr w14:paraId="07FBB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90902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16E1548">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Business/Commerce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67925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Medical/Health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99055F">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4.253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FD1C3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2.434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794FCFA">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13,895.0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5F97D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.684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2C3D15">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&lt; .001</w:t>
            </w:r>
          </w:p>
        </w:tc>
      </w:tr>
      <w:tr w14:paraId="7E798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028D78">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E4C78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Business/Commerce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A9001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Science/Engineering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36DC7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4.253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B3432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2.897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C06C7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18,010.0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48AF7D2">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.582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F8C642">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&lt; .001</w:t>
            </w:r>
          </w:p>
        </w:tc>
      </w:tr>
      <w:tr w14:paraId="33933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89FDE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38DA2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Medical/Health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433302">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Science/Engineering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67260A">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2.434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4FF8DE">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2.897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738BE65">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6,989.5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33959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−.207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51D67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.0052</w:t>
            </w:r>
          </w:p>
        </w:tc>
      </w:tr>
      <w:tr w14:paraId="2250E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5B08B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FMB</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DA00A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Business/Commerce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0E9695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Science/Engineering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1FA209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3.361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8418A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3.049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CE3D78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13,462.5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86F646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.182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DC03AF">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.0359</w:t>
            </w:r>
          </w:p>
        </w:tc>
      </w:tr>
      <w:tr w14:paraId="5096B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8E50F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ISB</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9163B2">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Arts/Humanities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57713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Business/Commerce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F883AE">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2.800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4F695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3.281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4291F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6,487.0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6FEEA1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−.260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C2773F">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.0013</w:t>
            </w:r>
          </w:p>
        </w:tc>
      </w:tr>
      <w:tr w14:paraId="1E984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14CDA1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ISB</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AAB41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Arts/Humanities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C083D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Medical/Health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15DAD2">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2.800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03289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3.260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0AEFEA">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5,107.0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62CDEA">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−.247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48F67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.0043</w:t>
            </w:r>
          </w:p>
        </w:tc>
      </w:tr>
      <w:tr w14:paraId="5CD4B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EA11E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ISB</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50E8D4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Arts/Humanities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2F600A">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Science/Engineering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A570BE">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2.800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A23C325">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3.267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DFC268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6,944.0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AB0C5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−.258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F86803A">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.0013</w:t>
            </w:r>
          </w:p>
        </w:tc>
      </w:tr>
      <w:tr w14:paraId="31EF8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C6DDC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8B66F8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Arts/Humanities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A8FAFF">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Medical/Health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CDFB5F">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3.203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3E3C4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3.640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0B1EF8">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5,037.0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2691B2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−.257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9FDF2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.0032</w:t>
            </w:r>
          </w:p>
        </w:tc>
      </w:tr>
      <w:tr w14:paraId="4CF5F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BBA7B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3A7A03">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Arts/Humanities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7C84DE">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Science/Engineering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C8B34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3.203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D0E76C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3.658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33006B">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6,775.5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28D5403">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−.276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86987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.0004</w:t>
            </w:r>
          </w:p>
        </w:tc>
      </w:tr>
      <w:tr w14:paraId="0A61E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CD21DD5">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Q19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0A04CE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Business/Commerce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5577FD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Science/Engineering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192A4AF">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3.986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30CF8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3.577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225830">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13,660.5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46165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61CC04">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.0094</w:t>
            </w:r>
          </w:p>
        </w:tc>
      </w:tr>
      <w:tr w14:paraId="3BAFB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76BD6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FFO</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54D2C2">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Business/Commerce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4D75F8">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Medical/Health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B7A3FE">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3.911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0630E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3.620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D37C88">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9,748.0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BCC77F">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.182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E8EC72">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.0395</w:t>
            </w:r>
          </w:p>
        </w:tc>
      </w:tr>
      <w:tr w14:paraId="3BE8D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7CCF2E">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FFO</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09066D">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Business/Commerce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CA8B5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Science/Engineering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C529E9">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3.911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7785CB8">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3.513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866571">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13,824.0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43BD5C">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.214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2FF256">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.0041</w:t>
            </w:r>
          </w:p>
        </w:tc>
      </w:tr>
    </w:tbl>
    <w:p w14:paraId="7EF4E5D2">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eastAsia="SimSun" w:cs="Times New Roman"/>
          <w:sz w:val="22"/>
          <w:szCs w:val="22"/>
        </w:rPr>
        <w:t>Note. U = Mann–Whitney U statistic. Holm-adjusted p-values are corrected within each outcome. Positive rank-biserial values indicate higher ranks in Group A; negative values indicate higher ranks in Group B. Means are descriptive summaries. Group sample sizes were 120 (Arts/Humanities), 146 (Business/Commerce), 113 (Medical/Health), and 156 (Science/Engineering). N = 535.</w:t>
      </w:r>
    </w:p>
    <w:p w14:paraId="0A6E79D0">
      <w:pPr>
        <w:pStyle w:val="4"/>
        <w:bidi w:val="0"/>
        <w:spacing w:before="0" w:after="140" w:line="276" w:lineRule="auto"/>
        <w:jc w:val="left"/>
        <w:rPr>
          <w:rFonts w:hint="default" w:ascii="Times New Roman" w:hAnsi="Times New Roman" w:cs="Times New Roman"/>
          <w:b/>
          <w:bCs/>
          <w:sz w:val="22"/>
          <w:szCs w:val="22"/>
        </w:rPr>
      </w:pPr>
    </w:p>
    <w:sectPr>
      <w:pgSz w:w="15840" w:h="12240" w:orient="landscape"/>
      <w:pgMar w:top="1138" w:right="1138" w:bottom="1138" w:left="1138" w:header="0" w:footer="0" w:gutter="0"/>
      <w:pgNumType w:fmt="decimal"/>
      <w:cols w:space="720" w:num="1"/>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NSimSun">
    <w:panose1 w:val="02010609030101010101"/>
    <w:charset w:val="86"/>
    <w:family w:val="auto"/>
    <w:pitch w:val="default"/>
    <w:sig w:usb0="00000203" w:usb1="288F0000" w:usb2="00000006" w:usb3="00000000" w:csb0="00040001" w:csb1="00000000"/>
  </w:font>
  <w:font w:name="Lucida Sans">
    <w:panose1 w:val="020B0602030504020204"/>
    <w:charset w:val="00"/>
    <w:family w:val="auto"/>
    <w:pitch w:val="default"/>
    <w:sig w:usb0="00000003" w:usb1="00000000" w:usb2="00000000" w:usb3="00000000" w:csb0="20000001" w:csb1="00000000"/>
  </w:font>
  <w:font w:name="Liberation Sans">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OpenSymbol">
    <w:altName w:val="Segoe Print"/>
    <w:panose1 w:val="00000000000000000000"/>
    <w:charset w:val="02"/>
    <w:family w:val="auto"/>
    <w:pitch w:val="default"/>
    <w:sig w:usb0="00000000" w:usb1="00000000" w:usb2="00000000" w:usb3="00000000" w:csb0="00000000" w:csb1="00000000"/>
  </w:font>
  <w:font w:name="Liberation Mono">
    <w:altName w:val="Courier New"/>
    <w:panose1 w:val="00000000000000000000"/>
    <w:charset w:val="01"/>
    <w:family w:val="moder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7FF8C">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367F8E">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4C367F8E">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F1ACD9"/>
    <w:multiLevelType w:val="multilevel"/>
    <w:tmpl w:val="B0F1ACD9"/>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1">
    <w:nsid w:val="0E640482"/>
    <w:multiLevelType w:val="multilevel"/>
    <w:tmpl w:val="0E640482"/>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
    <w:nsid w:val="46A08BB8"/>
    <w:multiLevelType w:val="multilevel"/>
    <w:tmpl w:val="46A08BB8"/>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
    <w:nsid w:val="60382F6E"/>
    <w:multiLevelType w:val="multilevel"/>
    <w:tmpl w:val="60382F6E"/>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09"/>
  <w:autoHyphenation/>
  <w:hyphenationZone w:val="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106F4B"/>
    <w:rsid w:val="040C067B"/>
    <w:rsid w:val="0425785D"/>
    <w:rsid w:val="07557695"/>
    <w:rsid w:val="0EC75AE2"/>
    <w:rsid w:val="0FD61908"/>
    <w:rsid w:val="117016A9"/>
    <w:rsid w:val="129C6C18"/>
    <w:rsid w:val="141D5E0F"/>
    <w:rsid w:val="15111B9F"/>
    <w:rsid w:val="15B33927"/>
    <w:rsid w:val="18546479"/>
    <w:rsid w:val="196E1208"/>
    <w:rsid w:val="1D484C98"/>
    <w:rsid w:val="1EA261CE"/>
    <w:rsid w:val="20163B31"/>
    <w:rsid w:val="21B246D6"/>
    <w:rsid w:val="22A10C5C"/>
    <w:rsid w:val="22A41BE1"/>
    <w:rsid w:val="243932FC"/>
    <w:rsid w:val="24D71F01"/>
    <w:rsid w:val="25451805"/>
    <w:rsid w:val="25DF4931"/>
    <w:rsid w:val="26392A41"/>
    <w:rsid w:val="282D4176"/>
    <w:rsid w:val="2A6D37AC"/>
    <w:rsid w:val="2BB01839"/>
    <w:rsid w:val="2C4F5EBF"/>
    <w:rsid w:val="2E1B3EB1"/>
    <w:rsid w:val="2F945C9C"/>
    <w:rsid w:val="32331A68"/>
    <w:rsid w:val="32BB24CB"/>
    <w:rsid w:val="33373894"/>
    <w:rsid w:val="338C0DA0"/>
    <w:rsid w:val="35DA3E68"/>
    <w:rsid w:val="394B7F8C"/>
    <w:rsid w:val="39C14A43"/>
    <w:rsid w:val="3BDB0F35"/>
    <w:rsid w:val="3C9B197D"/>
    <w:rsid w:val="3CEC0482"/>
    <w:rsid w:val="3E427173"/>
    <w:rsid w:val="3FA06772"/>
    <w:rsid w:val="40807FDE"/>
    <w:rsid w:val="412F2700"/>
    <w:rsid w:val="414313A1"/>
    <w:rsid w:val="41934623"/>
    <w:rsid w:val="443941F8"/>
    <w:rsid w:val="45F02CCE"/>
    <w:rsid w:val="469117FA"/>
    <w:rsid w:val="4C162B64"/>
    <w:rsid w:val="4F573F3A"/>
    <w:rsid w:val="51E03964"/>
    <w:rsid w:val="52737CBF"/>
    <w:rsid w:val="530529F2"/>
    <w:rsid w:val="54EE2C41"/>
    <w:rsid w:val="558B30E5"/>
    <w:rsid w:val="55BC38B4"/>
    <w:rsid w:val="58545AF7"/>
    <w:rsid w:val="5B164401"/>
    <w:rsid w:val="5CBE34B8"/>
    <w:rsid w:val="5D8E4A8A"/>
    <w:rsid w:val="5E716381"/>
    <w:rsid w:val="5EE31B38"/>
    <w:rsid w:val="5EEB27C8"/>
    <w:rsid w:val="5FCC72A5"/>
    <w:rsid w:val="60553F98"/>
    <w:rsid w:val="61D1258B"/>
    <w:rsid w:val="628056B5"/>
    <w:rsid w:val="64F71AB3"/>
    <w:rsid w:val="657D3011"/>
    <w:rsid w:val="65B00EE1"/>
    <w:rsid w:val="667F2833"/>
    <w:rsid w:val="66A11AEE"/>
    <w:rsid w:val="68B878E7"/>
    <w:rsid w:val="6944683F"/>
    <w:rsid w:val="6A652199"/>
    <w:rsid w:val="6B5A17AD"/>
    <w:rsid w:val="6F755D6A"/>
    <w:rsid w:val="6FF034B5"/>
    <w:rsid w:val="6FFC6153"/>
    <w:rsid w:val="70221706"/>
    <w:rsid w:val="70363C29"/>
    <w:rsid w:val="70E62748"/>
    <w:rsid w:val="71C30E32"/>
    <w:rsid w:val="71DC7890"/>
    <w:rsid w:val="73D52592"/>
    <w:rsid w:val="742F0F2B"/>
    <w:rsid w:val="745436E9"/>
    <w:rsid w:val="752217B8"/>
    <w:rsid w:val="75687E97"/>
    <w:rsid w:val="758208D8"/>
    <w:rsid w:val="767201E1"/>
    <w:rsid w:val="76E210A6"/>
    <w:rsid w:val="77FF2E6B"/>
    <w:rsid w:val="79921083"/>
    <w:rsid w:val="7ACA0D7F"/>
    <w:rsid w:val="7BBA3F0B"/>
    <w:rsid w:val="7C1F16B1"/>
    <w:rsid w:val="7CCF0CAF"/>
    <w:rsid w:val="7EF127D4"/>
    <w:rsid w:val="7EF60E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kinsoku/>
      <w:overflowPunct/>
      <w:autoSpaceDE/>
      <w:bidi w:val="0"/>
    </w:pPr>
    <w:rPr>
      <w:rFonts w:ascii="Liberation Serif" w:hAnsi="Liberation Serif" w:eastAsia="NSimSun" w:cs="Lucida Sans"/>
      <w:color w:val="auto"/>
      <w:kern w:val="2"/>
      <w:sz w:val="24"/>
      <w:szCs w:val="24"/>
      <w:lang w:val="en-US" w:eastAsia="zh-CN" w:bidi="hi-IN"/>
    </w:rPr>
  </w:style>
  <w:style w:type="paragraph" w:styleId="2">
    <w:name w:val="heading 1"/>
    <w:basedOn w:val="3"/>
    <w:next w:val="4"/>
    <w:qFormat/>
    <w:uiPriority w:val="0"/>
    <w:pPr>
      <w:numPr>
        <w:ilvl w:val="0"/>
        <w:numId w:val="0"/>
      </w:numPr>
      <w:spacing w:before="240" w:after="120"/>
      <w:outlineLvl w:val="0"/>
    </w:pPr>
    <w:rPr>
      <w:rFonts w:ascii="Liberation Serif" w:hAnsi="Liberation Serif" w:eastAsia="NSimSun" w:cs="Lucida Sans"/>
      <w:b/>
      <w:bCs/>
      <w:sz w:val="48"/>
      <w:szCs w:val="48"/>
    </w:rPr>
  </w:style>
  <w:style w:type="paragraph" w:styleId="5">
    <w:name w:val="heading 2"/>
    <w:basedOn w:val="3"/>
    <w:next w:val="4"/>
    <w:qFormat/>
    <w:uiPriority w:val="0"/>
    <w:pPr>
      <w:numPr>
        <w:ilvl w:val="0"/>
        <w:numId w:val="0"/>
      </w:numPr>
      <w:spacing w:before="200" w:after="120"/>
      <w:outlineLvl w:val="1"/>
    </w:pPr>
    <w:rPr>
      <w:rFonts w:ascii="Liberation Serif" w:hAnsi="Liberation Serif" w:eastAsia="NSimSun" w:cs="Lucida Sans"/>
      <w:b/>
      <w:bCs/>
      <w:sz w:val="36"/>
      <w:szCs w:val="36"/>
    </w:rPr>
  </w:style>
  <w:style w:type="paragraph" w:styleId="6">
    <w:name w:val="heading 3"/>
    <w:basedOn w:val="3"/>
    <w:next w:val="4"/>
    <w:qFormat/>
    <w:uiPriority w:val="0"/>
    <w:pPr>
      <w:numPr>
        <w:ilvl w:val="0"/>
        <w:numId w:val="0"/>
      </w:numPr>
      <w:spacing w:before="140" w:after="120"/>
      <w:outlineLvl w:val="2"/>
    </w:pPr>
    <w:rPr>
      <w:rFonts w:ascii="Liberation Serif" w:hAnsi="Liberation Serif" w:eastAsia="NSimSun" w:cs="Lucida Sans"/>
      <w:b/>
      <w:bCs/>
      <w:sz w:val="28"/>
      <w:szCs w:val="28"/>
    </w:rPr>
  </w:style>
  <w:style w:type="paragraph" w:styleId="7">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Microsoft YaHei" w:cs="Lucida Sans"/>
      <w:sz w:val="28"/>
      <w:szCs w:val="28"/>
    </w:rPr>
  </w:style>
  <w:style w:type="paragraph" w:styleId="4">
    <w:name w:val="Body Text"/>
    <w:basedOn w:val="1"/>
    <w:qFormat/>
    <w:uiPriority w:val="0"/>
    <w:pPr>
      <w:spacing w:before="0" w:after="140" w:line="276" w:lineRule="auto"/>
    </w:pPr>
  </w:style>
  <w:style w:type="paragraph" w:styleId="10">
    <w:name w:val="caption"/>
    <w:basedOn w:val="1"/>
    <w:qFormat/>
    <w:uiPriority w:val="0"/>
    <w:pPr>
      <w:suppressLineNumbers/>
      <w:spacing w:before="120" w:after="120"/>
    </w:pPr>
    <w:rPr>
      <w:rFonts w:cs="Lucida Sans"/>
      <w:i/>
      <w:iCs/>
      <w:sz w:val="24"/>
      <w:szCs w:val="24"/>
    </w:rPr>
  </w:style>
  <w:style w:type="character" w:styleId="11">
    <w:name w:val="Emphasis"/>
    <w:qFormat/>
    <w:uiPriority w:val="0"/>
    <w:rPr>
      <w:i/>
      <w:iCs/>
    </w:rPr>
  </w:style>
  <w:style w:type="character" w:styleId="12">
    <w:name w:val="FollowedHyperlink"/>
    <w:qFormat/>
    <w:uiPriority w:val="0"/>
    <w:rPr>
      <w:color w:val="800000"/>
      <w:u w:val="single"/>
    </w:rPr>
  </w:style>
  <w:style w:type="paragraph" w:styleId="13">
    <w:name w:val="footer"/>
    <w:basedOn w:val="1"/>
    <w:qFormat/>
    <w:uiPriority w:val="0"/>
    <w:pPr>
      <w:tabs>
        <w:tab w:val="center" w:pos="4153"/>
        <w:tab w:val="right" w:pos="8306"/>
      </w:tabs>
      <w:snapToGrid w:val="0"/>
      <w:jc w:val="left"/>
    </w:pPr>
    <w:rPr>
      <w:sz w:val="18"/>
      <w:szCs w:val="18"/>
    </w:rPr>
  </w:style>
  <w:style w:type="paragraph" w:styleId="14">
    <w:name w:val="header"/>
    <w:basedOn w:val="1"/>
    <w:qFormat/>
    <w:uiPriority w:val="0"/>
    <w:pPr>
      <w:tabs>
        <w:tab w:val="center" w:pos="4153"/>
        <w:tab w:val="right" w:pos="8306"/>
      </w:tabs>
      <w:snapToGrid w:val="0"/>
    </w:pPr>
    <w:rPr>
      <w:sz w:val="18"/>
      <w:szCs w:val="18"/>
    </w:rPr>
  </w:style>
  <w:style w:type="character" w:styleId="15">
    <w:name w:val="HTML Code"/>
    <w:basedOn w:val="8"/>
    <w:qFormat/>
    <w:uiPriority w:val="0"/>
    <w:rPr>
      <w:rFonts w:ascii="Courier New" w:hAnsi="Courier New" w:cs="Courier New"/>
      <w:sz w:val="20"/>
      <w:szCs w:val="20"/>
    </w:rPr>
  </w:style>
  <w:style w:type="paragraph" w:styleId="1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7">
    <w:name w:val="Hyperlink"/>
    <w:qFormat/>
    <w:uiPriority w:val="0"/>
    <w:rPr>
      <w:color w:val="000080"/>
      <w:u w:val="single"/>
    </w:rPr>
  </w:style>
  <w:style w:type="paragraph" w:styleId="18">
    <w:name w:val="List"/>
    <w:basedOn w:val="4"/>
    <w:qFormat/>
    <w:uiPriority w:val="0"/>
    <w:rPr>
      <w:rFonts w:cs="Lucida Sans"/>
    </w:rPr>
  </w:style>
  <w:style w:type="paragraph" w:styleId="1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0">
    <w:name w:val="Strong"/>
    <w:qFormat/>
    <w:uiPriority w:val="0"/>
    <w:rPr>
      <w:b/>
      <w:bCs/>
    </w:rPr>
  </w:style>
  <w:style w:type="character" w:customStyle="1" w:styleId="21">
    <w:name w:val="Bullets"/>
    <w:qFormat/>
    <w:uiPriority w:val="0"/>
    <w:rPr>
      <w:rFonts w:ascii="OpenSymbol" w:hAnsi="OpenSymbol" w:eastAsia="OpenSymbol" w:cs="OpenSymbol"/>
    </w:rPr>
  </w:style>
  <w:style w:type="character" w:customStyle="1" w:styleId="22">
    <w:name w:val="Numbering Symbols"/>
    <w:qFormat/>
    <w:uiPriority w:val="0"/>
  </w:style>
  <w:style w:type="character" w:customStyle="1" w:styleId="23">
    <w:name w:val="Source Text"/>
    <w:qFormat/>
    <w:uiPriority w:val="0"/>
    <w:rPr>
      <w:rFonts w:ascii="Liberation Mono" w:hAnsi="Liberation Mono" w:eastAsia="NSimSun" w:cs="Liberation Mono"/>
    </w:rPr>
  </w:style>
  <w:style w:type="paragraph" w:customStyle="1" w:styleId="24">
    <w:name w:val="Index"/>
    <w:basedOn w:val="1"/>
    <w:qFormat/>
    <w:uiPriority w:val="0"/>
    <w:pPr>
      <w:suppressLineNumbers/>
    </w:pPr>
    <w:rPr>
      <w:rFonts w:cs="Lucida Sans"/>
    </w:rPr>
  </w:style>
  <w:style w:type="paragraph" w:customStyle="1" w:styleId="25">
    <w:name w:val="Table Contents"/>
    <w:basedOn w:val="1"/>
    <w:qFormat/>
    <w:uiPriority w:val="0"/>
    <w:pPr>
      <w:widowControl w:val="0"/>
      <w:suppressLineNumbers/>
    </w:pPr>
  </w:style>
  <w:style w:type="paragraph" w:customStyle="1" w:styleId="26">
    <w:name w:val="Table Heading"/>
    <w:basedOn w:val="25"/>
    <w:qFormat/>
    <w:uiPriority w:val="0"/>
    <w:pPr>
      <w:suppressLineNumbers/>
      <w:jc w:val="center"/>
    </w:pPr>
    <w:rPr>
      <w:b/>
      <w:bCs/>
    </w:rPr>
  </w:style>
  <w:style w:type="paragraph" w:customStyle="1" w:styleId="27">
    <w:name w:val="Block Quotation"/>
    <w:basedOn w:val="1"/>
    <w:qFormat/>
    <w:uiPriority w:val="0"/>
    <w:pPr>
      <w:spacing w:before="0" w:after="283"/>
      <w:ind w:left="567" w:right="567" w:firstLine="0"/>
    </w:pPr>
  </w:style>
</w:styles>
</file>

<file path=word/_rels/document.xml.rels><?xml version="1.0" encoding="UTF-8" standalone="yes"?>
<Relationships xmlns="http://schemas.openxmlformats.org/package/2006/relationships"><Relationship Id="rId9" Type="http://schemas.openxmlformats.org/officeDocument/2006/relationships/image" Target="media/image5.svg"/><Relationship Id="rId8" Type="http://schemas.openxmlformats.org/officeDocument/2006/relationships/image" Target="media/image4.png"/><Relationship Id="rId7" Type="http://schemas.openxmlformats.org/officeDocument/2006/relationships/image" Target="media/image3.sv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34</Pages>
  <Words>11703</Words>
  <Characters>78841</Characters>
  <Paragraphs>786</Paragraphs>
  <TotalTime>59</TotalTime>
  <ScaleCrop>false</ScaleCrop>
  <LinksUpToDate>false</LinksUpToDate>
  <CharactersWithSpaces>89177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2026-10-17T08:33:00Z</dcterms:created>
  <dc:creator>Mr Rabi</dc:creator>
  <cp:lastModifiedBy>Mr Rabi</cp:lastModifiedBy>
  <dcterms:modified xsi:type="dcterms:W3CDTF">2026-10-20T07:43:47Z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eyJoZGlkIjoiNmVmYTcwYzljMTQ0OTcxYjVkODhiYTIwMjlkNjFkMjAiLCJ1c2VySWQiOiIzMTc4ODk2ODU2MjI5In0=</vt:lpwstr>
  </property>
  <property fmtid="{D5CDD505-2E9C-101B-9397-08002B2CF9AE}" pid="3" name="KSOProductBuildVer">
    <vt:lpwstr>1033-12.1.0.29162</vt:lpwstr>
  </property>
  <property fmtid="{D5CDD505-2E9C-101B-9397-08002B2CF9AE}" pid="4" name="ICV">
    <vt:lpwstr>765D1B74848E48E98036BB7464793DD0_13</vt:lpwstr>
  </property>
</Properties>
</file>