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B31" w:rsidRDefault="00C00B31" w:rsidP="00C00B31">
      <w:pPr>
        <w:jc w:val="center"/>
        <w:rPr>
          <w:rFonts w:ascii="Arial" w:hAnsi="Arial" w:cs="Arial"/>
          <w:b/>
          <w:sz w:val="18"/>
          <w:szCs w:val="18"/>
        </w:rPr>
      </w:pPr>
      <w:r w:rsidRPr="00C00B31">
        <w:rPr>
          <w:rFonts w:ascii="Arial" w:hAnsi="Arial" w:cs="Arial"/>
          <w:b/>
          <w:sz w:val="18"/>
          <w:szCs w:val="18"/>
        </w:rPr>
        <w:t>EE 509: Lab Report 5</w:t>
      </w:r>
    </w:p>
    <w:p w:rsidR="009C01CB" w:rsidRPr="00C00B31" w:rsidRDefault="009C01CB" w:rsidP="00C00B31">
      <w:pPr>
        <w:jc w:val="center"/>
        <w:rPr>
          <w:rFonts w:ascii="Arial" w:hAnsi="Arial" w:cs="Arial"/>
          <w:b/>
          <w:sz w:val="18"/>
          <w:szCs w:val="18"/>
        </w:rPr>
      </w:pPr>
      <w:r w:rsidRPr="00C00B31">
        <w:rPr>
          <w:rFonts w:ascii="Arial" w:hAnsi="Arial" w:cs="Arial"/>
          <w:b/>
          <w:sz w:val="18"/>
          <w:szCs w:val="18"/>
        </w:rPr>
        <w:t>Rose Abramoff</w:t>
      </w:r>
    </w:p>
    <w:p w:rsidR="00317D00" w:rsidRPr="00134633" w:rsidRDefault="009C01CB" w:rsidP="00317D00">
      <w:pPr>
        <w:rPr>
          <w:rFonts w:ascii="Arial" w:hAnsi="Arial" w:cs="Arial"/>
          <w:sz w:val="18"/>
          <w:szCs w:val="18"/>
          <w:u w:val="single"/>
        </w:rPr>
      </w:pPr>
      <w:r w:rsidRPr="00134633">
        <w:rPr>
          <w:rFonts w:ascii="Arial" w:hAnsi="Arial" w:cs="Arial"/>
          <w:sz w:val="18"/>
          <w:szCs w:val="18"/>
          <w:u w:val="single"/>
        </w:rPr>
        <w:t>Lab Report Task 1</w:t>
      </w:r>
    </w:p>
    <w:p w:rsidR="009C01CB" w:rsidRDefault="009C01CB" w:rsidP="00317D0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Table 1: Summary Statistics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7"/>
        <w:gridCol w:w="936"/>
        <w:gridCol w:w="1016"/>
        <w:gridCol w:w="1017"/>
        <w:gridCol w:w="1017"/>
        <w:gridCol w:w="1026"/>
        <w:gridCol w:w="1027"/>
        <w:gridCol w:w="1026"/>
        <w:gridCol w:w="1024"/>
      </w:tblGrid>
      <w:tr w:rsidR="008226D0" w:rsidTr="008226D0">
        <w:tc>
          <w:tcPr>
            <w:tcW w:w="1487" w:type="dxa"/>
          </w:tcPr>
          <w:p w:rsidR="008226D0" w:rsidRPr="0020302F" w:rsidRDefault="008226D0" w:rsidP="0013463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8226D0" w:rsidRPr="0020302F" w:rsidRDefault="008226D0" w:rsidP="0013463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0302F">
              <w:rPr>
                <w:rFonts w:ascii="Arial" w:hAnsi="Arial" w:cs="Arial"/>
                <w:b/>
                <w:bCs/>
                <w:sz w:val="18"/>
                <w:szCs w:val="18"/>
              </w:rPr>
              <w:t>mean</w:t>
            </w:r>
          </w:p>
        </w:tc>
        <w:tc>
          <w:tcPr>
            <w:tcW w:w="1016" w:type="dxa"/>
          </w:tcPr>
          <w:p w:rsidR="008226D0" w:rsidRPr="0020302F" w:rsidRDefault="008226D0" w:rsidP="0013463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20302F">
              <w:rPr>
                <w:rFonts w:ascii="Arial" w:hAnsi="Arial" w:cs="Arial"/>
                <w:b/>
                <w:bCs/>
                <w:sz w:val="18"/>
                <w:szCs w:val="18"/>
              </w:rPr>
              <w:t>sd</w:t>
            </w:r>
            <w:proofErr w:type="spellEnd"/>
          </w:p>
        </w:tc>
        <w:tc>
          <w:tcPr>
            <w:tcW w:w="1017" w:type="dxa"/>
          </w:tcPr>
          <w:p w:rsidR="008226D0" w:rsidRPr="0020302F" w:rsidRDefault="008226D0" w:rsidP="0013463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20302F">
              <w:rPr>
                <w:rFonts w:ascii="Arial" w:hAnsi="Arial" w:cs="Arial"/>
                <w:b/>
                <w:bCs/>
                <w:sz w:val="18"/>
                <w:szCs w:val="18"/>
              </w:rPr>
              <w:t>MC_error</w:t>
            </w:r>
            <w:proofErr w:type="spellEnd"/>
          </w:p>
        </w:tc>
        <w:tc>
          <w:tcPr>
            <w:tcW w:w="1017" w:type="dxa"/>
          </w:tcPr>
          <w:p w:rsidR="008226D0" w:rsidRPr="0020302F" w:rsidRDefault="008226D0" w:rsidP="0013463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0302F">
              <w:rPr>
                <w:rFonts w:ascii="Arial" w:hAnsi="Arial" w:cs="Arial"/>
                <w:b/>
                <w:bCs/>
                <w:sz w:val="18"/>
                <w:szCs w:val="18"/>
              </w:rPr>
              <w:t>val2.5pc</w:t>
            </w:r>
          </w:p>
        </w:tc>
        <w:tc>
          <w:tcPr>
            <w:tcW w:w="1026" w:type="dxa"/>
          </w:tcPr>
          <w:p w:rsidR="008226D0" w:rsidRPr="0020302F" w:rsidRDefault="008226D0" w:rsidP="0013463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0302F">
              <w:rPr>
                <w:rFonts w:ascii="Arial" w:hAnsi="Arial" w:cs="Arial"/>
                <w:b/>
                <w:bCs/>
                <w:sz w:val="18"/>
                <w:szCs w:val="18"/>
              </w:rPr>
              <w:t>median</w:t>
            </w:r>
          </w:p>
        </w:tc>
        <w:tc>
          <w:tcPr>
            <w:tcW w:w="1027" w:type="dxa"/>
          </w:tcPr>
          <w:p w:rsidR="008226D0" w:rsidRPr="0020302F" w:rsidRDefault="008226D0" w:rsidP="0013463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0302F">
              <w:rPr>
                <w:rFonts w:ascii="Arial" w:hAnsi="Arial" w:cs="Arial"/>
                <w:b/>
                <w:bCs/>
                <w:sz w:val="18"/>
                <w:szCs w:val="18"/>
              </w:rPr>
              <w:t>val97.5pc</w:t>
            </w:r>
          </w:p>
        </w:tc>
        <w:tc>
          <w:tcPr>
            <w:tcW w:w="1026" w:type="dxa"/>
          </w:tcPr>
          <w:p w:rsidR="008226D0" w:rsidRPr="0020302F" w:rsidRDefault="008226D0" w:rsidP="0013463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0302F">
              <w:rPr>
                <w:rFonts w:ascii="Arial" w:hAnsi="Arial" w:cs="Arial"/>
                <w:b/>
                <w:bCs/>
                <w:sz w:val="18"/>
                <w:szCs w:val="18"/>
              </w:rPr>
              <w:t>start</w:t>
            </w:r>
          </w:p>
        </w:tc>
        <w:tc>
          <w:tcPr>
            <w:tcW w:w="1024" w:type="dxa"/>
          </w:tcPr>
          <w:p w:rsidR="008226D0" w:rsidRPr="0020302F" w:rsidRDefault="008226D0" w:rsidP="0013463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sample</w:t>
            </w:r>
          </w:p>
        </w:tc>
      </w:tr>
      <w:tr w:rsidR="008226D0" w:rsidTr="008226D0">
        <w:tc>
          <w:tcPr>
            <w:tcW w:w="1487" w:type="dxa"/>
          </w:tcPr>
          <w:p w:rsidR="008226D0" w:rsidRPr="00F43B18" w:rsidRDefault="008226D0" w:rsidP="00134633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F43B18">
              <w:rPr>
                <w:rFonts w:ascii="Arial" w:hAnsi="Arial" w:cs="Arial"/>
                <w:sz w:val="18"/>
                <w:szCs w:val="18"/>
              </w:rPr>
              <w:t>deviance</w:t>
            </w:r>
          </w:p>
        </w:tc>
        <w:tc>
          <w:tcPr>
            <w:tcW w:w="936" w:type="dxa"/>
          </w:tcPr>
          <w:p w:rsidR="008226D0" w:rsidRPr="00F43B18" w:rsidRDefault="008226D0" w:rsidP="00134633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F43B18">
              <w:rPr>
                <w:rFonts w:ascii="Arial" w:hAnsi="Arial" w:cs="Arial"/>
                <w:sz w:val="18"/>
                <w:szCs w:val="18"/>
              </w:rPr>
              <w:t>1826.0</w:t>
            </w:r>
          </w:p>
        </w:tc>
        <w:tc>
          <w:tcPr>
            <w:tcW w:w="1016" w:type="dxa"/>
          </w:tcPr>
          <w:p w:rsidR="008226D0" w:rsidRPr="00F43B18" w:rsidRDefault="00BB7A13" w:rsidP="00134633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1.393</w:t>
            </w:r>
          </w:p>
        </w:tc>
        <w:tc>
          <w:tcPr>
            <w:tcW w:w="1017" w:type="dxa"/>
          </w:tcPr>
          <w:p w:rsidR="008226D0" w:rsidRPr="00F43B18" w:rsidRDefault="00BB7A13" w:rsidP="00134633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0.01055</w:t>
            </w:r>
          </w:p>
        </w:tc>
        <w:tc>
          <w:tcPr>
            <w:tcW w:w="1017" w:type="dxa"/>
          </w:tcPr>
          <w:p w:rsidR="008226D0" w:rsidRPr="00F43B18" w:rsidRDefault="008226D0" w:rsidP="00134633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F43B18">
              <w:rPr>
                <w:rFonts w:ascii="Arial" w:hAnsi="Arial" w:cs="Arial"/>
                <w:sz w:val="18"/>
                <w:szCs w:val="18"/>
              </w:rPr>
              <w:t>1825.0</w:t>
            </w:r>
          </w:p>
        </w:tc>
        <w:tc>
          <w:tcPr>
            <w:tcW w:w="1026" w:type="dxa"/>
          </w:tcPr>
          <w:p w:rsidR="008226D0" w:rsidRPr="00F43B18" w:rsidRDefault="008226D0" w:rsidP="00134633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F43B18">
              <w:rPr>
                <w:rFonts w:ascii="Arial" w:hAnsi="Arial" w:cs="Arial"/>
                <w:sz w:val="18"/>
                <w:szCs w:val="18"/>
              </w:rPr>
              <w:t>1825.0</w:t>
            </w:r>
          </w:p>
        </w:tc>
        <w:tc>
          <w:tcPr>
            <w:tcW w:w="1027" w:type="dxa"/>
          </w:tcPr>
          <w:p w:rsidR="008226D0" w:rsidRPr="00F43B18" w:rsidRDefault="008226D0" w:rsidP="00134633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F43B18">
              <w:rPr>
                <w:rFonts w:ascii="Arial" w:hAnsi="Arial" w:cs="Arial"/>
                <w:sz w:val="18"/>
                <w:szCs w:val="18"/>
              </w:rPr>
              <w:t>1830.0</w:t>
            </w:r>
          </w:p>
        </w:tc>
        <w:tc>
          <w:tcPr>
            <w:tcW w:w="1026" w:type="dxa"/>
          </w:tcPr>
          <w:p w:rsidR="008226D0" w:rsidRPr="00F43B18" w:rsidRDefault="008226D0" w:rsidP="00134633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F43B18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000</w:t>
            </w:r>
          </w:p>
        </w:tc>
        <w:tc>
          <w:tcPr>
            <w:tcW w:w="1024" w:type="dxa"/>
          </w:tcPr>
          <w:p w:rsidR="008226D0" w:rsidRPr="00F43B18" w:rsidRDefault="00BB7A13" w:rsidP="00134633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  <w:r w:rsidR="008226D0">
              <w:rPr>
                <w:rFonts w:ascii="Arial" w:hAnsi="Arial" w:cs="Arial"/>
                <w:sz w:val="18"/>
                <w:szCs w:val="18"/>
              </w:rPr>
              <w:t>003</w:t>
            </w:r>
          </w:p>
        </w:tc>
      </w:tr>
      <w:tr w:rsidR="008226D0" w:rsidTr="008226D0">
        <w:tc>
          <w:tcPr>
            <w:tcW w:w="1487" w:type="dxa"/>
          </w:tcPr>
          <w:p w:rsidR="008226D0" w:rsidRPr="00317651" w:rsidRDefault="008226D0" w:rsidP="00134633">
            <w:pPr>
              <w:rPr>
                <w:rFonts w:ascii="Arial" w:hAnsi="Arial" w:cs="Arial"/>
                <w:sz w:val="18"/>
                <w:szCs w:val="18"/>
              </w:rPr>
            </w:pPr>
            <w:r w:rsidRPr="00317651">
              <w:rPr>
                <w:rFonts w:ascii="Arial" w:hAnsi="Arial" w:cs="Arial"/>
                <w:sz w:val="18"/>
                <w:szCs w:val="18"/>
              </w:rPr>
              <w:t>mean</w:t>
            </w:r>
          </w:p>
        </w:tc>
        <w:tc>
          <w:tcPr>
            <w:tcW w:w="936" w:type="dxa"/>
          </w:tcPr>
          <w:p w:rsidR="008226D0" w:rsidRPr="00317651" w:rsidRDefault="008226D0" w:rsidP="00134633">
            <w:pPr>
              <w:rPr>
                <w:rFonts w:ascii="Arial" w:hAnsi="Arial" w:cs="Arial"/>
                <w:sz w:val="18"/>
                <w:szCs w:val="18"/>
              </w:rPr>
            </w:pPr>
            <w:r w:rsidRPr="00317651">
              <w:rPr>
                <w:rFonts w:ascii="Arial" w:hAnsi="Arial" w:cs="Arial"/>
                <w:sz w:val="18"/>
                <w:szCs w:val="18"/>
              </w:rPr>
              <w:t>16.57</w:t>
            </w:r>
          </w:p>
        </w:tc>
        <w:tc>
          <w:tcPr>
            <w:tcW w:w="1016" w:type="dxa"/>
          </w:tcPr>
          <w:p w:rsidR="008226D0" w:rsidRPr="00317651" w:rsidRDefault="00BB7A13" w:rsidP="0013463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0.3019</w:t>
            </w:r>
          </w:p>
        </w:tc>
        <w:tc>
          <w:tcPr>
            <w:tcW w:w="1017" w:type="dxa"/>
          </w:tcPr>
          <w:p w:rsidR="008226D0" w:rsidRPr="00317651" w:rsidRDefault="00BB7A13" w:rsidP="0013463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0.002215</w:t>
            </w:r>
          </w:p>
        </w:tc>
        <w:tc>
          <w:tcPr>
            <w:tcW w:w="1017" w:type="dxa"/>
          </w:tcPr>
          <w:p w:rsidR="008226D0" w:rsidRPr="00317651" w:rsidRDefault="008226D0" w:rsidP="00134633">
            <w:pPr>
              <w:rPr>
                <w:rFonts w:ascii="Arial" w:hAnsi="Arial" w:cs="Arial"/>
                <w:sz w:val="18"/>
                <w:szCs w:val="18"/>
              </w:rPr>
            </w:pPr>
            <w:r w:rsidRPr="00317651">
              <w:rPr>
                <w:rFonts w:ascii="Arial" w:hAnsi="Arial" w:cs="Arial"/>
                <w:sz w:val="18"/>
                <w:szCs w:val="18"/>
              </w:rPr>
              <w:t>15.98</w:t>
            </w:r>
          </w:p>
        </w:tc>
        <w:tc>
          <w:tcPr>
            <w:tcW w:w="1026" w:type="dxa"/>
          </w:tcPr>
          <w:p w:rsidR="008226D0" w:rsidRPr="00317651" w:rsidRDefault="00BB7A13" w:rsidP="0013463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16.57</w:t>
            </w:r>
          </w:p>
        </w:tc>
        <w:tc>
          <w:tcPr>
            <w:tcW w:w="1027" w:type="dxa"/>
          </w:tcPr>
          <w:p w:rsidR="008226D0" w:rsidRPr="00317651" w:rsidRDefault="008226D0" w:rsidP="0013463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17.16</w:t>
            </w:r>
          </w:p>
        </w:tc>
        <w:tc>
          <w:tcPr>
            <w:tcW w:w="1026" w:type="dxa"/>
          </w:tcPr>
          <w:p w:rsidR="008226D0" w:rsidRPr="00317651" w:rsidRDefault="008226D0" w:rsidP="00134633">
            <w:pPr>
              <w:rPr>
                <w:rFonts w:ascii="Arial" w:hAnsi="Arial" w:cs="Arial"/>
                <w:sz w:val="18"/>
                <w:szCs w:val="18"/>
              </w:rPr>
            </w:pPr>
            <w:r w:rsidRPr="00317651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000</w:t>
            </w:r>
          </w:p>
        </w:tc>
        <w:tc>
          <w:tcPr>
            <w:tcW w:w="1024" w:type="dxa"/>
          </w:tcPr>
          <w:p w:rsidR="008226D0" w:rsidRPr="00317651" w:rsidRDefault="00BB7A13" w:rsidP="0013463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  <w:r w:rsidR="008226D0">
              <w:rPr>
                <w:rFonts w:ascii="Arial" w:hAnsi="Arial" w:cs="Arial"/>
                <w:sz w:val="18"/>
                <w:szCs w:val="18"/>
              </w:rPr>
              <w:t>003</w:t>
            </w:r>
          </w:p>
        </w:tc>
      </w:tr>
    </w:tbl>
    <w:p w:rsidR="00C00B31" w:rsidRDefault="00C00B31" w:rsidP="008226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8226D0" w:rsidRDefault="008226D0" w:rsidP="008226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</w:p>
    <w:p w:rsidR="00C00B31" w:rsidRDefault="00F57E7E" w:rsidP="008226D0">
      <w:r>
        <w:object w:dxaOrig="3969" w:dyaOrig="19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5pt;height:99pt" o:ole="">
            <v:imagedata r:id="rId5" o:title=""/>
          </v:shape>
          <o:OLEObject Type="Embed" ProgID="Unknown" ShapeID="_x0000_i1025" DrawAspect="Content" ObjectID="_1474128350" r:id="rId6"/>
        </w:object>
      </w:r>
      <w:r w:rsidRPr="00F57E7E">
        <w:t xml:space="preserve"> </w:t>
      </w:r>
      <w:r>
        <w:object w:dxaOrig="3969" w:dyaOrig="1984">
          <v:shape id="_x0000_i1026" type="#_x0000_t75" style="width:198.5pt;height:99pt" o:ole="">
            <v:imagedata r:id="rId7" o:title=""/>
          </v:shape>
          <o:OLEObject Type="Embed" ProgID="Unknown" ShapeID="_x0000_i1026" DrawAspect="Content" ObjectID="_1474128351" r:id="rId8"/>
        </w:object>
      </w:r>
    </w:p>
    <w:p w:rsidR="009C01CB" w:rsidRDefault="009C01CB" w:rsidP="005A641E">
      <w:pPr>
        <w:ind w:firstLine="720"/>
      </w:pPr>
      <w:r>
        <w:t xml:space="preserve">Figure 1: </w:t>
      </w:r>
      <w:r w:rsidR="005A641E">
        <w:t>Density of deviance</w:t>
      </w:r>
      <w:r w:rsidR="005A641E">
        <w:tab/>
      </w:r>
      <w:r w:rsidR="005A641E">
        <w:tab/>
      </w:r>
      <w:r w:rsidR="005A641E">
        <w:tab/>
        <w:t>Figure 2: Density of mean</w:t>
      </w:r>
    </w:p>
    <w:p w:rsidR="00604067" w:rsidRDefault="00F57E7E" w:rsidP="00604067">
      <w:r>
        <w:object w:dxaOrig="8787" w:dyaOrig="2551">
          <v:shape id="_x0000_i1027" type="#_x0000_t75" style="width:439.5pt;height:127.5pt" o:ole="">
            <v:imagedata r:id="rId9" o:title=""/>
          </v:shape>
          <o:OLEObject Type="Embed" ProgID="Unknown" ShapeID="_x0000_i1027" DrawAspect="Content" ObjectID="_1474128352" r:id="rId10"/>
        </w:object>
      </w:r>
    </w:p>
    <w:p w:rsidR="00F90CF9" w:rsidRDefault="00F90CF9" w:rsidP="00604067">
      <w:r>
        <w:object w:dxaOrig="8787" w:dyaOrig="2551">
          <v:shape id="_x0000_i1044" type="#_x0000_t75" style="width:439.5pt;height:127.5pt" o:ole="">
            <v:imagedata r:id="rId11" o:title=""/>
          </v:shape>
          <o:OLEObject Type="Embed" ProgID="Unknown" ShapeID="_x0000_i1044" DrawAspect="Content" ObjectID="_1474128353" r:id="rId12"/>
        </w:object>
      </w:r>
      <w:bookmarkStart w:id="0" w:name="_GoBack"/>
      <w:bookmarkEnd w:id="0"/>
    </w:p>
    <w:p w:rsidR="00604067" w:rsidRDefault="00604067" w:rsidP="00604067">
      <w:r>
        <w:t>Figure 3: Plot of MCMC History</w:t>
      </w:r>
    </w:p>
    <w:p w:rsidR="00C00B31" w:rsidRDefault="00C00B31" w:rsidP="00604067">
      <w:r>
        <w:t>Table 2: Model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1620"/>
      </w:tblGrid>
      <w:tr w:rsidR="00C00B31" w:rsidRPr="00C00B31" w:rsidTr="00C00B31">
        <w:tc>
          <w:tcPr>
            <w:tcW w:w="1818" w:type="dxa"/>
          </w:tcPr>
          <w:p w:rsidR="00C00B31" w:rsidRPr="00C00B31" w:rsidRDefault="00C00B31" w:rsidP="00134633">
            <w:pPr>
              <w:rPr>
                <w:b/>
              </w:rPr>
            </w:pPr>
            <w:r w:rsidRPr="00C00B31">
              <w:rPr>
                <w:b/>
              </w:rPr>
              <w:t>Length of MCMC:</w:t>
            </w:r>
          </w:p>
        </w:tc>
        <w:tc>
          <w:tcPr>
            <w:tcW w:w="1620" w:type="dxa"/>
          </w:tcPr>
          <w:p w:rsidR="00C00B31" w:rsidRPr="00C00B31" w:rsidRDefault="00F57E7E" w:rsidP="00134633">
            <w:r>
              <w:t>6</w:t>
            </w:r>
            <w:r w:rsidR="00C00B31" w:rsidRPr="00C00B31">
              <w:t>000 iterations</w:t>
            </w:r>
          </w:p>
        </w:tc>
      </w:tr>
      <w:tr w:rsidR="00C00B31" w:rsidRPr="00C00B31" w:rsidTr="00C00B31">
        <w:tc>
          <w:tcPr>
            <w:tcW w:w="1818" w:type="dxa"/>
          </w:tcPr>
          <w:p w:rsidR="00C00B31" w:rsidRPr="00C00B31" w:rsidRDefault="00C00B31" w:rsidP="00134633">
            <w:pPr>
              <w:rPr>
                <w:b/>
              </w:rPr>
            </w:pPr>
            <w:r w:rsidRPr="00C00B31">
              <w:rPr>
                <w:b/>
              </w:rPr>
              <w:t xml:space="preserve">Chains: </w:t>
            </w:r>
          </w:p>
        </w:tc>
        <w:tc>
          <w:tcPr>
            <w:tcW w:w="1620" w:type="dxa"/>
          </w:tcPr>
          <w:p w:rsidR="00C00B31" w:rsidRPr="00C00B31" w:rsidRDefault="00C00B31" w:rsidP="00134633">
            <w:r w:rsidRPr="00C00B31">
              <w:t>3</w:t>
            </w:r>
          </w:p>
        </w:tc>
      </w:tr>
      <w:tr w:rsidR="00C00B31" w:rsidRPr="00C00B31" w:rsidTr="00C00B31">
        <w:tc>
          <w:tcPr>
            <w:tcW w:w="1818" w:type="dxa"/>
          </w:tcPr>
          <w:p w:rsidR="00C00B31" w:rsidRPr="00C00B31" w:rsidRDefault="00C00B31" w:rsidP="00134633">
            <w:pPr>
              <w:rPr>
                <w:b/>
              </w:rPr>
            </w:pPr>
            <w:r w:rsidRPr="00C00B31">
              <w:rPr>
                <w:b/>
              </w:rPr>
              <w:lastRenderedPageBreak/>
              <w:t xml:space="preserve">Beg: </w:t>
            </w:r>
          </w:p>
        </w:tc>
        <w:tc>
          <w:tcPr>
            <w:tcW w:w="1620" w:type="dxa"/>
          </w:tcPr>
          <w:p w:rsidR="00C00B31" w:rsidRPr="00C00B31" w:rsidRDefault="00C00B31" w:rsidP="00134633">
            <w:r w:rsidRPr="00C00B31">
              <w:t>1000</w:t>
            </w:r>
          </w:p>
        </w:tc>
      </w:tr>
      <w:tr w:rsidR="00C00B31" w:rsidRPr="00C00B31" w:rsidTr="00C00B31">
        <w:tc>
          <w:tcPr>
            <w:tcW w:w="1818" w:type="dxa"/>
          </w:tcPr>
          <w:p w:rsidR="00C00B31" w:rsidRPr="00C00B31" w:rsidRDefault="00C00B31" w:rsidP="00134633">
            <w:pPr>
              <w:rPr>
                <w:b/>
              </w:rPr>
            </w:pPr>
            <w:r w:rsidRPr="00C00B31">
              <w:rPr>
                <w:b/>
              </w:rPr>
              <w:t>Thin:</w:t>
            </w:r>
          </w:p>
        </w:tc>
        <w:tc>
          <w:tcPr>
            <w:tcW w:w="1620" w:type="dxa"/>
          </w:tcPr>
          <w:p w:rsidR="00C00B31" w:rsidRPr="00C00B31" w:rsidRDefault="00C00B31" w:rsidP="00134633">
            <w:r w:rsidRPr="00C00B31">
              <w:t>1</w:t>
            </w:r>
          </w:p>
        </w:tc>
      </w:tr>
    </w:tbl>
    <w:p w:rsidR="004F42E3" w:rsidRDefault="004F42E3" w:rsidP="00604067"/>
    <w:p w:rsidR="004F42E3" w:rsidRDefault="00F57E7E" w:rsidP="00604067">
      <w:r>
        <w:object w:dxaOrig="3969" w:dyaOrig="1984">
          <v:shape id="_x0000_i1029" type="#_x0000_t75" style="width:198.5pt;height:99pt" o:ole="">
            <v:imagedata r:id="rId13" o:title=""/>
          </v:shape>
          <o:OLEObject Type="Embed" ProgID="Unknown" ShapeID="_x0000_i1029" DrawAspect="Content" ObjectID="_1474128354" r:id="rId14"/>
        </w:object>
      </w:r>
      <w:r>
        <w:object w:dxaOrig="3969" w:dyaOrig="1984">
          <v:shape id="_x0000_i1028" type="#_x0000_t75" style="width:198.5pt;height:99pt" o:ole="">
            <v:imagedata r:id="rId15" o:title=""/>
          </v:shape>
          <o:OLEObject Type="Embed" ProgID="Unknown" ShapeID="_x0000_i1028" DrawAspect="Content" ObjectID="_1474128355" r:id="rId16"/>
        </w:object>
      </w:r>
    </w:p>
    <w:p w:rsidR="004F42E3" w:rsidRDefault="004F42E3" w:rsidP="00604067">
      <w:r>
        <w:t xml:space="preserve">Figure </w:t>
      </w:r>
      <w:r w:rsidR="00AB7056">
        <w:t xml:space="preserve">4: </w:t>
      </w:r>
      <w:proofErr w:type="spellStart"/>
      <w:r w:rsidR="00AB7056">
        <w:t>Quantiles</w:t>
      </w:r>
      <w:proofErr w:type="spellEnd"/>
      <w:r w:rsidR="00AB7056">
        <w:t xml:space="preserve"> after 1000 iteratio</w:t>
      </w:r>
      <w:r w:rsidR="00F57E7E">
        <w:t>ns</w:t>
      </w:r>
      <w:r w:rsidR="00F57E7E">
        <w:tab/>
      </w:r>
      <w:r w:rsidR="00F57E7E">
        <w:tab/>
      </w:r>
      <w:r w:rsidR="00F57E7E">
        <w:tab/>
        <w:t xml:space="preserve">Figure 5: </w:t>
      </w:r>
      <w:proofErr w:type="spellStart"/>
      <w:r w:rsidR="00F57E7E">
        <w:t>Quantiles</w:t>
      </w:r>
      <w:proofErr w:type="spellEnd"/>
      <w:r w:rsidR="00F57E7E">
        <w:t xml:space="preserve"> after 6</w:t>
      </w:r>
      <w:r w:rsidR="00AB7056">
        <w:t>000 iterations</w:t>
      </w:r>
    </w:p>
    <w:p w:rsidR="00812709" w:rsidRDefault="00F57E7E" w:rsidP="00604067">
      <w:r>
        <w:object w:dxaOrig="3969" w:dyaOrig="1984">
          <v:shape id="_x0000_i1030" type="#_x0000_t75" style="width:198.5pt;height:99pt" o:ole="">
            <v:imagedata r:id="rId17" o:title=""/>
          </v:shape>
          <o:OLEObject Type="Embed" ProgID="Unknown" ShapeID="_x0000_i1030" DrawAspect="Content" ObjectID="_1474128356" r:id="rId18"/>
        </w:object>
      </w:r>
      <w:r w:rsidRPr="00F57E7E">
        <w:t xml:space="preserve"> </w:t>
      </w:r>
      <w:r>
        <w:object w:dxaOrig="3969" w:dyaOrig="1984">
          <v:shape id="_x0000_i1031" type="#_x0000_t75" style="width:198.5pt;height:99pt" o:ole="">
            <v:imagedata r:id="rId19" o:title=""/>
          </v:shape>
          <o:OLEObject Type="Embed" ProgID="Unknown" ShapeID="_x0000_i1031" DrawAspect="Content" ObjectID="_1474128357" r:id="rId20"/>
        </w:object>
      </w:r>
    </w:p>
    <w:p w:rsidR="00812709" w:rsidRDefault="00812709" w:rsidP="00604067">
      <w:r>
        <w:t>Fi</w:t>
      </w:r>
      <w:r w:rsidR="00F57E7E">
        <w:t>gure 6: BGR diagnostic after 1000</w:t>
      </w:r>
      <w:r>
        <w:t xml:space="preserve"> iterations</w:t>
      </w:r>
      <w:r>
        <w:tab/>
      </w:r>
      <w:r>
        <w:tab/>
      </w:r>
      <w:r w:rsidR="00F57E7E">
        <w:t>Figure 7</w:t>
      </w:r>
      <w:proofErr w:type="gramStart"/>
      <w:r w:rsidR="00F57E7E">
        <w:t>:BGR</w:t>
      </w:r>
      <w:proofErr w:type="gramEnd"/>
      <w:r w:rsidR="00F57E7E">
        <w:t xml:space="preserve"> diagnostic after 60</w:t>
      </w:r>
      <w:r>
        <w:t>00 iterations</w:t>
      </w:r>
    </w:p>
    <w:p w:rsidR="00AB7056" w:rsidRDefault="00F57E7E" w:rsidP="008226D0">
      <w:r>
        <w:object w:dxaOrig="3969" w:dyaOrig="1984">
          <v:shape id="_x0000_i1033" type="#_x0000_t75" style="width:198.5pt;height:99pt" o:ole="">
            <v:imagedata r:id="rId21" o:title=""/>
          </v:shape>
          <o:OLEObject Type="Embed" ProgID="Unknown" ShapeID="_x0000_i1033" DrawAspect="Content" ObjectID="_1474128358" r:id="rId22"/>
        </w:object>
      </w:r>
      <w:r>
        <w:object w:dxaOrig="3969" w:dyaOrig="1984">
          <v:shape id="_x0000_i1032" type="#_x0000_t75" style="width:198.5pt;height:99pt" o:ole="">
            <v:imagedata r:id="rId23" o:title=""/>
          </v:shape>
          <o:OLEObject Type="Embed" ProgID="Unknown" ShapeID="_x0000_i1032" DrawAspect="Content" ObjectID="_1474128359" r:id="rId24"/>
        </w:object>
      </w:r>
    </w:p>
    <w:p w:rsidR="008226D0" w:rsidRDefault="00812709" w:rsidP="008226D0">
      <w:r>
        <w:t>Figure 8</w:t>
      </w:r>
      <w:r w:rsidR="008226D0">
        <w:t>: Autoco</w:t>
      </w:r>
      <w:r>
        <w:t>rrelation of deviance</w:t>
      </w:r>
      <w:r>
        <w:tab/>
      </w:r>
      <w:r>
        <w:tab/>
      </w:r>
      <w:r>
        <w:tab/>
        <w:t>Figure 9</w:t>
      </w:r>
      <w:r w:rsidR="008226D0">
        <w:t>: Autocorrelation of mean</w:t>
      </w:r>
    </w:p>
    <w:p w:rsidR="008226D0" w:rsidRDefault="008226D0" w:rsidP="008226D0">
      <w:r>
        <w:t>Justification: Iterati</w:t>
      </w:r>
      <w:r w:rsidR="00F57E7E">
        <w:t>ons were extended from 1000 to 6</w:t>
      </w:r>
      <w:r>
        <w:t xml:space="preserve">000 to so that </w:t>
      </w:r>
      <w:proofErr w:type="spellStart"/>
      <w:r>
        <w:t>quantiles</w:t>
      </w:r>
      <w:proofErr w:type="spellEnd"/>
      <w:r>
        <w:t xml:space="preserve"> for each chain would converge to the same value. The first 1000 iterations were cut because </w:t>
      </w:r>
      <w:proofErr w:type="spellStart"/>
      <w:r>
        <w:t>quantiles</w:t>
      </w:r>
      <w:proofErr w:type="spellEnd"/>
      <w:r>
        <w:t xml:space="preserve"> had not converged. No data were thinned because the autocorrelation graph indicated nearly 0 autocorrelation at all lags 1-100.</w:t>
      </w:r>
      <w:r w:rsidR="00BB7A13">
        <w:t xml:space="preserve"> </w:t>
      </w:r>
    </w:p>
    <w:p w:rsidR="00C00B31" w:rsidRDefault="00C00B31" w:rsidP="008226D0"/>
    <w:p w:rsidR="00C00B31" w:rsidRPr="00134633" w:rsidRDefault="00C00B31" w:rsidP="008226D0">
      <w:pPr>
        <w:rPr>
          <w:u w:val="single"/>
        </w:rPr>
      </w:pPr>
      <w:r w:rsidRPr="00134633">
        <w:rPr>
          <w:u w:val="single"/>
        </w:rPr>
        <w:t>Lab Report Task 2:</w:t>
      </w:r>
    </w:p>
    <w:p w:rsidR="00A9487B" w:rsidRDefault="00A9487B" w:rsidP="00A9487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Table 1: Summary Statistics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A9487B" w:rsidTr="00A55F6B">
        <w:tc>
          <w:tcPr>
            <w:tcW w:w="1064" w:type="dxa"/>
          </w:tcPr>
          <w:p w:rsidR="00A9487B" w:rsidRPr="00B71618" w:rsidRDefault="00A9487B" w:rsidP="00D4601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64" w:type="dxa"/>
          </w:tcPr>
          <w:p w:rsidR="00A9487B" w:rsidRPr="00B71618" w:rsidRDefault="00A9487B" w:rsidP="00D4601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71618">
              <w:rPr>
                <w:rFonts w:ascii="Arial" w:hAnsi="Arial" w:cs="Arial"/>
                <w:b/>
                <w:bCs/>
                <w:sz w:val="18"/>
                <w:szCs w:val="18"/>
              </w:rPr>
              <w:t>mean</w:t>
            </w:r>
          </w:p>
        </w:tc>
        <w:tc>
          <w:tcPr>
            <w:tcW w:w="1064" w:type="dxa"/>
          </w:tcPr>
          <w:p w:rsidR="00A9487B" w:rsidRPr="00B71618" w:rsidRDefault="00A9487B" w:rsidP="00D4601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B71618">
              <w:rPr>
                <w:rFonts w:ascii="Arial" w:hAnsi="Arial" w:cs="Arial"/>
                <w:b/>
                <w:bCs/>
                <w:sz w:val="18"/>
                <w:szCs w:val="18"/>
              </w:rPr>
              <w:t>sd</w:t>
            </w:r>
            <w:proofErr w:type="spellEnd"/>
          </w:p>
        </w:tc>
        <w:tc>
          <w:tcPr>
            <w:tcW w:w="1064" w:type="dxa"/>
          </w:tcPr>
          <w:p w:rsidR="00A9487B" w:rsidRPr="00B71618" w:rsidRDefault="00A9487B" w:rsidP="00D4601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B71618">
              <w:rPr>
                <w:rFonts w:ascii="Arial" w:hAnsi="Arial" w:cs="Arial"/>
                <w:b/>
                <w:bCs/>
                <w:sz w:val="18"/>
                <w:szCs w:val="18"/>
              </w:rPr>
              <w:t>MC_error</w:t>
            </w:r>
            <w:proofErr w:type="spellEnd"/>
          </w:p>
        </w:tc>
        <w:tc>
          <w:tcPr>
            <w:tcW w:w="1064" w:type="dxa"/>
          </w:tcPr>
          <w:p w:rsidR="00A9487B" w:rsidRPr="00B71618" w:rsidRDefault="00A9487B" w:rsidP="00D4601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71618">
              <w:rPr>
                <w:rFonts w:ascii="Arial" w:hAnsi="Arial" w:cs="Arial"/>
                <w:b/>
                <w:bCs/>
                <w:sz w:val="18"/>
                <w:szCs w:val="18"/>
              </w:rPr>
              <w:t>val2.5pc</w:t>
            </w:r>
          </w:p>
        </w:tc>
        <w:tc>
          <w:tcPr>
            <w:tcW w:w="1064" w:type="dxa"/>
          </w:tcPr>
          <w:p w:rsidR="00A9487B" w:rsidRPr="00B71618" w:rsidRDefault="00A9487B" w:rsidP="00D4601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71618">
              <w:rPr>
                <w:rFonts w:ascii="Arial" w:hAnsi="Arial" w:cs="Arial"/>
                <w:b/>
                <w:bCs/>
                <w:sz w:val="18"/>
                <w:szCs w:val="18"/>
              </w:rPr>
              <w:t>median</w:t>
            </w:r>
          </w:p>
        </w:tc>
        <w:tc>
          <w:tcPr>
            <w:tcW w:w="1064" w:type="dxa"/>
          </w:tcPr>
          <w:p w:rsidR="00A9487B" w:rsidRPr="00B71618" w:rsidRDefault="00A9487B" w:rsidP="00D4601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71618">
              <w:rPr>
                <w:rFonts w:ascii="Arial" w:hAnsi="Arial" w:cs="Arial"/>
                <w:b/>
                <w:bCs/>
                <w:sz w:val="18"/>
                <w:szCs w:val="18"/>
              </w:rPr>
              <w:t>val97.5pc</w:t>
            </w:r>
          </w:p>
        </w:tc>
        <w:tc>
          <w:tcPr>
            <w:tcW w:w="1064" w:type="dxa"/>
          </w:tcPr>
          <w:p w:rsidR="00A9487B" w:rsidRPr="00B71618" w:rsidRDefault="00A9487B" w:rsidP="00D4601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71618">
              <w:rPr>
                <w:rFonts w:ascii="Arial" w:hAnsi="Arial" w:cs="Arial"/>
                <w:b/>
                <w:bCs/>
                <w:sz w:val="18"/>
                <w:szCs w:val="18"/>
              </w:rPr>
              <w:t>start</w:t>
            </w:r>
          </w:p>
        </w:tc>
        <w:tc>
          <w:tcPr>
            <w:tcW w:w="1064" w:type="dxa"/>
          </w:tcPr>
          <w:p w:rsidR="00A9487B" w:rsidRPr="00B71618" w:rsidRDefault="00A9487B" w:rsidP="00D4601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sample</w:t>
            </w:r>
          </w:p>
        </w:tc>
      </w:tr>
      <w:tr w:rsidR="00A9487B" w:rsidTr="00A55F6B">
        <w:tc>
          <w:tcPr>
            <w:tcW w:w="1064" w:type="dxa"/>
          </w:tcPr>
          <w:p w:rsidR="00A9487B" w:rsidRPr="00B71618" w:rsidRDefault="00A9487B" w:rsidP="00D4601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B71618">
              <w:rPr>
                <w:rFonts w:ascii="Arial" w:hAnsi="Arial" w:cs="Arial"/>
                <w:sz w:val="18"/>
                <w:szCs w:val="18"/>
              </w:rPr>
              <w:t>deviance</w:t>
            </w:r>
          </w:p>
        </w:tc>
        <w:tc>
          <w:tcPr>
            <w:tcW w:w="1064" w:type="dxa"/>
          </w:tcPr>
          <w:p w:rsidR="00A9487B" w:rsidRPr="00B71618" w:rsidRDefault="00A9487B" w:rsidP="00D4601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B71618">
              <w:rPr>
                <w:rFonts w:ascii="Arial" w:hAnsi="Arial" w:cs="Arial"/>
                <w:sz w:val="18"/>
                <w:szCs w:val="18"/>
              </w:rPr>
              <w:t>1827.0</w:t>
            </w:r>
          </w:p>
        </w:tc>
        <w:tc>
          <w:tcPr>
            <w:tcW w:w="1064" w:type="dxa"/>
          </w:tcPr>
          <w:p w:rsidR="00A9487B" w:rsidRPr="00B71618" w:rsidRDefault="00040EE0" w:rsidP="00D4601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1.994</w:t>
            </w:r>
          </w:p>
        </w:tc>
        <w:tc>
          <w:tcPr>
            <w:tcW w:w="1064" w:type="dxa"/>
          </w:tcPr>
          <w:p w:rsidR="00A9487B" w:rsidRPr="00B71618" w:rsidRDefault="00040EE0" w:rsidP="00D4601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0.01532</w:t>
            </w:r>
          </w:p>
        </w:tc>
        <w:tc>
          <w:tcPr>
            <w:tcW w:w="1064" w:type="dxa"/>
          </w:tcPr>
          <w:p w:rsidR="00A9487B" w:rsidRPr="00B71618" w:rsidRDefault="00A9487B" w:rsidP="00D4601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B71618">
              <w:rPr>
                <w:rFonts w:ascii="Arial" w:hAnsi="Arial" w:cs="Arial"/>
                <w:sz w:val="18"/>
                <w:szCs w:val="18"/>
              </w:rPr>
              <w:t>1825.0</w:t>
            </w:r>
          </w:p>
        </w:tc>
        <w:tc>
          <w:tcPr>
            <w:tcW w:w="1064" w:type="dxa"/>
          </w:tcPr>
          <w:p w:rsidR="00A9487B" w:rsidRPr="00B71618" w:rsidRDefault="00A9487B" w:rsidP="00D4601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B71618">
              <w:rPr>
                <w:rFonts w:ascii="Arial" w:hAnsi="Arial" w:cs="Arial"/>
                <w:sz w:val="18"/>
                <w:szCs w:val="18"/>
              </w:rPr>
              <w:t>1826.0</w:t>
            </w:r>
          </w:p>
        </w:tc>
        <w:tc>
          <w:tcPr>
            <w:tcW w:w="1064" w:type="dxa"/>
          </w:tcPr>
          <w:p w:rsidR="00A9487B" w:rsidRPr="00B71618" w:rsidRDefault="00A9487B" w:rsidP="00D4601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B71618">
              <w:rPr>
                <w:rFonts w:ascii="Arial" w:hAnsi="Arial" w:cs="Arial"/>
                <w:sz w:val="18"/>
                <w:szCs w:val="18"/>
              </w:rPr>
              <w:t>1832.0</w:t>
            </w:r>
          </w:p>
        </w:tc>
        <w:tc>
          <w:tcPr>
            <w:tcW w:w="1064" w:type="dxa"/>
          </w:tcPr>
          <w:p w:rsidR="00A9487B" w:rsidRPr="00B71618" w:rsidRDefault="00A9487B" w:rsidP="00D4601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B71618">
              <w:rPr>
                <w:rFonts w:ascii="Arial" w:hAnsi="Arial" w:cs="Arial"/>
                <w:sz w:val="18"/>
                <w:szCs w:val="18"/>
              </w:rPr>
              <w:t>1</w:t>
            </w:r>
            <w:r w:rsidR="00040EE0">
              <w:rPr>
                <w:rFonts w:ascii="Arial" w:hAnsi="Arial" w:cs="Arial"/>
                <w:sz w:val="18"/>
                <w:szCs w:val="18"/>
              </w:rPr>
              <w:t>000</w:t>
            </w:r>
          </w:p>
        </w:tc>
        <w:tc>
          <w:tcPr>
            <w:tcW w:w="1064" w:type="dxa"/>
          </w:tcPr>
          <w:p w:rsidR="00A9487B" w:rsidRPr="00B71618" w:rsidRDefault="00040EE0" w:rsidP="00D4601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17703</w:t>
            </w:r>
          </w:p>
        </w:tc>
      </w:tr>
      <w:tr w:rsidR="00A9487B" w:rsidTr="00A55F6B">
        <w:tc>
          <w:tcPr>
            <w:tcW w:w="1064" w:type="dxa"/>
          </w:tcPr>
          <w:p w:rsidR="00A9487B" w:rsidRPr="00B71618" w:rsidRDefault="00A9487B" w:rsidP="00D4601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B71618">
              <w:rPr>
                <w:rFonts w:ascii="Arial" w:hAnsi="Arial" w:cs="Arial"/>
                <w:sz w:val="18"/>
                <w:szCs w:val="18"/>
              </w:rPr>
              <w:t>mean</w:t>
            </w:r>
          </w:p>
        </w:tc>
        <w:tc>
          <w:tcPr>
            <w:tcW w:w="1064" w:type="dxa"/>
          </w:tcPr>
          <w:p w:rsidR="00A9487B" w:rsidRPr="00B71618" w:rsidRDefault="00A9487B" w:rsidP="00D4601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B71618">
              <w:rPr>
                <w:rFonts w:ascii="Arial" w:hAnsi="Arial" w:cs="Arial"/>
                <w:sz w:val="18"/>
                <w:szCs w:val="18"/>
              </w:rPr>
              <w:t>16.58</w:t>
            </w:r>
          </w:p>
        </w:tc>
        <w:tc>
          <w:tcPr>
            <w:tcW w:w="1064" w:type="dxa"/>
          </w:tcPr>
          <w:p w:rsidR="00A9487B" w:rsidRPr="00B71618" w:rsidRDefault="00040EE0" w:rsidP="00D4601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0.3042</w:t>
            </w:r>
          </w:p>
        </w:tc>
        <w:tc>
          <w:tcPr>
            <w:tcW w:w="1064" w:type="dxa"/>
          </w:tcPr>
          <w:p w:rsidR="00A9487B" w:rsidRPr="00B71618" w:rsidRDefault="00040EE0" w:rsidP="00D4601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0.002139</w:t>
            </w:r>
          </w:p>
        </w:tc>
        <w:tc>
          <w:tcPr>
            <w:tcW w:w="1064" w:type="dxa"/>
          </w:tcPr>
          <w:p w:rsidR="00A9487B" w:rsidRPr="00B71618" w:rsidRDefault="00A9487B" w:rsidP="00D4601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B71618">
              <w:rPr>
                <w:rFonts w:ascii="Arial" w:hAnsi="Arial" w:cs="Arial"/>
                <w:sz w:val="18"/>
                <w:szCs w:val="18"/>
              </w:rPr>
              <w:t>15.98</w:t>
            </w:r>
          </w:p>
        </w:tc>
        <w:tc>
          <w:tcPr>
            <w:tcW w:w="1064" w:type="dxa"/>
          </w:tcPr>
          <w:p w:rsidR="00A9487B" w:rsidRPr="00B71618" w:rsidRDefault="00A9487B" w:rsidP="00D4601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B71618">
              <w:rPr>
                <w:rFonts w:ascii="Arial" w:hAnsi="Arial" w:cs="Arial"/>
                <w:sz w:val="18"/>
                <w:szCs w:val="18"/>
              </w:rPr>
              <w:t>16.58</w:t>
            </w:r>
          </w:p>
        </w:tc>
        <w:tc>
          <w:tcPr>
            <w:tcW w:w="1064" w:type="dxa"/>
          </w:tcPr>
          <w:p w:rsidR="00A9487B" w:rsidRPr="00B71618" w:rsidRDefault="00040EE0" w:rsidP="00D4601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17.17</w:t>
            </w:r>
          </w:p>
        </w:tc>
        <w:tc>
          <w:tcPr>
            <w:tcW w:w="1064" w:type="dxa"/>
          </w:tcPr>
          <w:p w:rsidR="00A9487B" w:rsidRPr="00B71618" w:rsidRDefault="00A9487B" w:rsidP="00D4601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B71618">
              <w:rPr>
                <w:rFonts w:ascii="Arial" w:hAnsi="Arial" w:cs="Arial"/>
                <w:sz w:val="18"/>
                <w:szCs w:val="18"/>
              </w:rPr>
              <w:t>1</w:t>
            </w:r>
            <w:r w:rsidR="00040EE0">
              <w:rPr>
                <w:rFonts w:ascii="Arial" w:hAnsi="Arial" w:cs="Arial"/>
                <w:sz w:val="18"/>
                <w:szCs w:val="18"/>
              </w:rPr>
              <w:t>000</w:t>
            </w:r>
          </w:p>
        </w:tc>
        <w:tc>
          <w:tcPr>
            <w:tcW w:w="1064" w:type="dxa"/>
          </w:tcPr>
          <w:p w:rsidR="00A9487B" w:rsidRPr="00B71618" w:rsidRDefault="00040EE0" w:rsidP="00D4601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17703</w:t>
            </w:r>
          </w:p>
        </w:tc>
      </w:tr>
      <w:tr w:rsidR="00A9487B" w:rsidTr="00A55F6B">
        <w:tc>
          <w:tcPr>
            <w:tcW w:w="1064" w:type="dxa"/>
          </w:tcPr>
          <w:p w:rsidR="00A9487B" w:rsidRPr="00B71618" w:rsidRDefault="00A9487B" w:rsidP="00D46017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71618">
              <w:rPr>
                <w:rFonts w:ascii="Arial" w:hAnsi="Arial" w:cs="Arial"/>
                <w:sz w:val="18"/>
                <w:szCs w:val="18"/>
              </w:rPr>
              <w:lastRenderedPageBreak/>
              <w:t>sd</w:t>
            </w:r>
            <w:proofErr w:type="spellEnd"/>
          </w:p>
        </w:tc>
        <w:tc>
          <w:tcPr>
            <w:tcW w:w="1064" w:type="dxa"/>
          </w:tcPr>
          <w:p w:rsidR="00A9487B" w:rsidRPr="00B71618" w:rsidRDefault="00040EE0" w:rsidP="00D460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5.244</w:t>
            </w:r>
          </w:p>
        </w:tc>
        <w:tc>
          <w:tcPr>
            <w:tcW w:w="1064" w:type="dxa"/>
          </w:tcPr>
          <w:p w:rsidR="00A9487B" w:rsidRPr="00B71618" w:rsidRDefault="00040EE0" w:rsidP="00D460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0.216</w:t>
            </w:r>
          </w:p>
        </w:tc>
        <w:tc>
          <w:tcPr>
            <w:tcW w:w="1064" w:type="dxa"/>
          </w:tcPr>
          <w:p w:rsidR="00A9487B" w:rsidRPr="00B71618" w:rsidRDefault="00040EE0" w:rsidP="00D460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0.0016</w:t>
            </w:r>
          </w:p>
        </w:tc>
        <w:tc>
          <w:tcPr>
            <w:tcW w:w="1064" w:type="dxa"/>
          </w:tcPr>
          <w:p w:rsidR="00A9487B" w:rsidRPr="00B71618" w:rsidRDefault="00A9487B" w:rsidP="00D46017">
            <w:pPr>
              <w:rPr>
                <w:rFonts w:ascii="Arial" w:hAnsi="Arial" w:cs="Arial"/>
                <w:sz w:val="18"/>
                <w:szCs w:val="18"/>
              </w:rPr>
            </w:pPr>
            <w:r w:rsidRPr="00B71618">
              <w:rPr>
                <w:rFonts w:ascii="Arial" w:hAnsi="Arial" w:cs="Arial"/>
                <w:sz w:val="18"/>
                <w:szCs w:val="18"/>
              </w:rPr>
              <w:t>4.846</w:t>
            </w:r>
          </w:p>
        </w:tc>
        <w:tc>
          <w:tcPr>
            <w:tcW w:w="1064" w:type="dxa"/>
          </w:tcPr>
          <w:p w:rsidR="00A9487B" w:rsidRPr="00B71618" w:rsidRDefault="00A9487B" w:rsidP="00D46017">
            <w:pPr>
              <w:rPr>
                <w:rFonts w:ascii="Arial" w:hAnsi="Arial" w:cs="Arial"/>
                <w:sz w:val="18"/>
                <w:szCs w:val="18"/>
              </w:rPr>
            </w:pPr>
            <w:r w:rsidRPr="00B71618">
              <w:rPr>
                <w:rFonts w:ascii="Arial" w:hAnsi="Arial" w:cs="Arial"/>
                <w:sz w:val="18"/>
                <w:szCs w:val="18"/>
              </w:rPr>
              <w:t>5.238</w:t>
            </w:r>
          </w:p>
        </w:tc>
        <w:tc>
          <w:tcPr>
            <w:tcW w:w="1064" w:type="dxa"/>
          </w:tcPr>
          <w:p w:rsidR="00A9487B" w:rsidRPr="00B71618" w:rsidRDefault="00040EE0" w:rsidP="00D460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5.688</w:t>
            </w:r>
          </w:p>
        </w:tc>
        <w:tc>
          <w:tcPr>
            <w:tcW w:w="1064" w:type="dxa"/>
          </w:tcPr>
          <w:p w:rsidR="00A9487B" w:rsidRPr="00B71618" w:rsidRDefault="00A9487B" w:rsidP="00D46017">
            <w:pPr>
              <w:rPr>
                <w:rFonts w:ascii="Arial" w:hAnsi="Arial" w:cs="Arial"/>
                <w:sz w:val="18"/>
                <w:szCs w:val="18"/>
              </w:rPr>
            </w:pPr>
            <w:r w:rsidRPr="00B71618">
              <w:rPr>
                <w:rFonts w:ascii="Arial" w:hAnsi="Arial" w:cs="Arial"/>
                <w:sz w:val="18"/>
                <w:szCs w:val="18"/>
              </w:rPr>
              <w:t>1</w:t>
            </w:r>
            <w:r w:rsidR="00040EE0">
              <w:rPr>
                <w:rFonts w:ascii="Arial" w:hAnsi="Arial" w:cs="Arial"/>
                <w:sz w:val="18"/>
                <w:szCs w:val="18"/>
              </w:rPr>
              <w:t>000</w:t>
            </w:r>
          </w:p>
        </w:tc>
        <w:tc>
          <w:tcPr>
            <w:tcW w:w="1064" w:type="dxa"/>
          </w:tcPr>
          <w:p w:rsidR="00A9487B" w:rsidRPr="00B71618" w:rsidRDefault="00040EE0" w:rsidP="00D460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17703</w:t>
            </w:r>
          </w:p>
        </w:tc>
      </w:tr>
    </w:tbl>
    <w:p w:rsidR="00A9487B" w:rsidRDefault="00A9487B" w:rsidP="00A948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ab/>
      </w:r>
    </w:p>
    <w:p w:rsidR="00A9487B" w:rsidRDefault="00A9487B" w:rsidP="00A948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</w:p>
    <w:p w:rsidR="00A9487B" w:rsidRDefault="008C06B3" w:rsidP="00A9487B">
      <w:r>
        <w:object w:dxaOrig="3969" w:dyaOrig="1984">
          <v:shape id="_x0000_i1034" type="#_x0000_t75" style="width:198.5pt;height:99pt" o:ole="">
            <v:imagedata r:id="rId25" o:title=""/>
          </v:shape>
          <o:OLEObject Type="Embed" ProgID="Unknown" ShapeID="_x0000_i1034" DrawAspect="Content" ObjectID="_1474128360" r:id="rId26"/>
        </w:object>
      </w:r>
      <w:r>
        <w:object w:dxaOrig="3969" w:dyaOrig="1984">
          <v:shape id="_x0000_i1035" type="#_x0000_t75" style="width:198.5pt;height:99pt" o:ole="">
            <v:imagedata r:id="rId27" o:title=""/>
          </v:shape>
          <o:OLEObject Type="Embed" ProgID="Unknown" ShapeID="_x0000_i1035" DrawAspect="Content" ObjectID="_1474128361" r:id="rId28"/>
        </w:object>
      </w:r>
    </w:p>
    <w:p w:rsidR="00A9487B" w:rsidRDefault="00A9487B" w:rsidP="00A9487B">
      <w:pPr>
        <w:ind w:firstLine="720"/>
      </w:pPr>
      <w:r>
        <w:t>Figure 1: Density of deviance</w:t>
      </w:r>
      <w:r>
        <w:tab/>
      </w:r>
      <w:r>
        <w:tab/>
      </w:r>
      <w:r>
        <w:tab/>
        <w:t>Figure 2: Density of mean</w:t>
      </w:r>
    </w:p>
    <w:p w:rsidR="00A9487B" w:rsidRDefault="008C06B3" w:rsidP="00A9487B">
      <w:pPr>
        <w:ind w:firstLine="720"/>
      </w:pPr>
      <w:r>
        <w:object w:dxaOrig="3969" w:dyaOrig="1984">
          <v:shape id="_x0000_i1036" type="#_x0000_t75" style="width:198.5pt;height:99pt" o:ole="">
            <v:imagedata r:id="rId29" o:title=""/>
          </v:shape>
          <o:OLEObject Type="Embed" ProgID="Unknown" ShapeID="_x0000_i1036" DrawAspect="Content" ObjectID="_1474128362" r:id="rId30"/>
        </w:object>
      </w:r>
    </w:p>
    <w:p w:rsidR="00A9487B" w:rsidRDefault="00A9487B" w:rsidP="00A9487B">
      <w:pPr>
        <w:ind w:firstLine="720"/>
      </w:pPr>
      <w:r>
        <w:t>Figure 3: Density of standard deviation</w:t>
      </w:r>
    </w:p>
    <w:p w:rsidR="00A9487B" w:rsidRDefault="008C06B3" w:rsidP="00A9487B">
      <w:r>
        <w:object w:dxaOrig="8787" w:dyaOrig="2551">
          <v:shape id="_x0000_i1037" type="#_x0000_t75" style="width:439.5pt;height:127.5pt" o:ole="">
            <v:imagedata r:id="rId31" o:title=""/>
          </v:shape>
          <o:OLEObject Type="Embed" ProgID="Unknown" ShapeID="_x0000_i1037" DrawAspect="Content" ObjectID="_1474128363" r:id="rId32"/>
        </w:object>
      </w:r>
    </w:p>
    <w:p w:rsidR="00F83DBA" w:rsidRDefault="008C06B3" w:rsidP="00A9487B">
      <w:r>
        <w:object w:dxaOrig="8787" w:dyaOrig="2551">
          <v:shape id="_x0000_i1038" type="#_x0000_t75" style="width:439.5pt;height:127.5pt" o:ole="">
            <v:imagedata r:id="rId33" o:title=""/>
          </v:shape>
          <o:OLEObject Type="Embed" ProgID="Unknown" ShapeID="_x0000_i1038" DrawAspect="Content" ObjectID="_1474128364" r:id="rId34"/>
        </w:object>
      </w:r>
    </w:p>
    <w:p w:rsidR="00A9487B" w:rsidRDefault="00F83DBA" w:rsidP="00A9487B">
      <w:r>
        <w:t>Figure 4</w:t>
      </w:r>
      <w:r w:rsidR="00A9487B">
        <w:t>: Plot</w:t>
      </w:r>
      <w:r>
        <w:t>s</w:t>
      </w:r>
      <w:r w:rsidR="00A9487B">
        <w:t xml:space="preserve"> of MCMC History</w:t>
      </w:r>
      <w:r>
        <w:t xml:space="preserve"> </w:t>
      </w:r>
    </w:p>
    <w:p w:rsidR="00A9487B" w:rsidRDefault="00A9487B" w:rsidP="00A9487B">
      <w:r>
        <w:t>Table 2: Model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1620"/>
      </w:tblGrid>
      <w:tr w:rsidR="00A9487B" w:rsidRPr="00C00B31" w:rsidTr="007E16C0">
        <w:tc>
          <w:tcPr>
            <w:tcW w:w="1818" w:type="dxa"/>
          </w:tcPr>
          <w:p w:rsidR="00A9487B" w:rsidRPr="00C00B31" w:rsidRDefault="00A9487B" w:rsidP="007E16C0">
            <w:pPr>
              <w:rPr>
                <w:b/>
              </w:rPr>
            </w:pPr>
            <w:r w:rsidRPr="00C00B31">
              <w:rPr>
                <w:b/>
              </w:rPr>
              <w:lastRenderedPageBreak/>
              <w:t>Length of MCMC:</w:t>
            </w:r>
          </w:p>
        </w:tc>
        <w:tc>
          <w:tcPr>
            <w:tcW w:w="1620" w:type="dxa"/>
          </w:tcPr>
          <w:p w:rsidR="00A9487B" w:rsidRPr="00C00B31" w:rsidRDefault="00A9487B" w:rsidP="007E16C0">
            <w:r>
              <w:t>6</w:t>
            </w:r>
            <w:r w:rsidR="00040EE0">
              <w:t>9</w:t>
            </w:r>
            <w:r w:rsidRPr="00C00B31">
              <w:t>00 iterations</w:t>
            </w:r>
          </w:p>
        </w:tc>
      </w:tr>
      <w:tr w:rsidR="00A9487B" w:rsidRPr="00C00B31" w:rsidTr="007E16C0">
        <w:tc>
          <w:tcPr>
            <w:tcW w:w="1818" w:type="dxa"/>
          </w:tcPr>
          <w:p w:rsidR="00A9487B" w:rsidRPr="00C00B31" w:rsidRDefault="00A9487B" w:rsidP="007E16C0">
            <w:pPr>
              <w:rPr>
                <w:b/>
              </w:rPr>
            </w:pPr>
            <w:r w:rsidRPr="00C00B31">
              <w:rPr>
                <w:b/>
              </w:rPr>
              <w:t xml:space="preserve">Chains: </w:t>
            </w:r>
          </w:p>
        </w:tc>
        <w:tc>
          <w:tcPr>
            <w:tcW w:w="1620" w:type="dxa"/>
          </w:tcPr>
          <w:p w:rsidR="00A9487B" w:rsidRPr="00C00B31" w:rsidRDefault="00A9487B" w:rsidP="007E16C0">
            <w:r w:rsidRPr="00C00B31">
              <w:t>3</w:t>
            </w:r>
          </w:p>
        </w:tc>
      </w:tr>
      <w:tr w:rsidR="00A9487B" w:rsidRPr="00C00B31" w:rsidTr="007E16C0">
        <w:tc>
          <w:tcPr>
            <w:tcW w:w="1818" w:type="dxa"/>
          </w:tcPr>
          <w:p w:rsidR="00A9487B" w:rsidRPr="00C00B31" w:rsidRDefault="00A9487B" w:rsidP="007E16C0">
            <w:pPr>
              <w:rPr>
                <w:b/>
              </w:rPr>
            </w:pPr>
            <w:r w:rsidRPr="00C00B31">
              <w:rPr>
                <w:b/>
              </w:rPr>
              <w:t xml:space="preserve">Beg: </w:t>
            </w:r>
          </w:p>
        </w:tc>
        <w:tc>
          <w:tcPr>
            <w:tcW w:w="1620" w:type="dxa"/>
          </w:tcPr>
          <w:p w:rsidR="00A9487B" w:rsidRPr="00C00B31" w:rsidRDefault="00A9487B" w:rsidP="007E16C0">
            <w:r w:rsidRPr="00C00B31">
              <w:t>1000</w:t>
            </w:r>
          </w:p>
        </w:tc>
      </w:tr>
      <w:tr w:rsidR="00A9487B" w:rsidRPr="00C00B31" w:rsidTr="007E16C0">
        <w:tc>
          <w:tcPr>
            <w:tcW w:w="1818" w:type="dxa"/>
          </w:tcPr>
          <w:p w:rsidR="00A9487B" w:rsidRPr="00C00B31" w:rsidRDefault="00A9487B" w:rsidP="007E16C0">
            <w:pPr>
              <w:rPr>
                <w:b/>
              </w:rPr>
            </w:pPr>
            <w:r w:rsidRPr="00C00B31">
              <w:rPr>
                <w:b/>
              </w:rPr>
              <w:t>Thin:</w:t>
            </w:r>
          </w:p>
        </w:tc>
        <w:tc>
          <w:tcPr>
            <w:tcW w:w="1620" w:type="dxa"/>
          </w:tcPr>
          <w:p w:rsidR="00A9487B" w:rsidRPr="00C00B31" w:rsidRDefault="00A9487B" w:rsidP="007E16C0">
            <w:r w:rsidRPr="00C00B31">
              <w:t>1</w:t>
            </w:r>
          </w:p>
        </w:tc>
      </w:tr>
    </w:tbl>
    <w:p w:rsidR="00A9487B" w:rsidRDefault="00A9487B" w:rsidP="00A9487B"/>
    <w:p w:rsidR="00A9487B" w:rsidRDefault="009732DD" w:rsidP="00A9487B">
      <w:r>
        <w:object w:dxaOrig="3969" w:dyaOrig="1984">
          <v:shape id="_x0000_i1040" type="#_x0000_t75" style="width:198.5pt;height:99pt" o:ole="">
            <v:imagedata r:id="rId35" o:title=""/>
          </v:shape>
          <o:OLEObject Type="Embed" ProgID="Unknown" ShapeID="_x0000_i1040" DrawAspect="Content" ObjectID="_1474128365" r:id="rId36"/>
        </w:object>
      </w:r>
      <w:r>
        <w:object w:dxaOrig="3969" w:dyaOrig="1984">
          <v:shape id="_x0000_i1039" type="#_x0000_t75" style="width:198.5pt;height:99pt" o:ole="">
            <v:imagedata r:id="rId37" o:title=""/>
          </v:shape>
          <o:OLEObject Type="Embed" ProgID="Unknown" ShapeID="_x0000_i1039" DrawAspect="Content" ObjectID="_1474128366" r:id="rId38"/>
        </w:object>
      </w:r>
    </w:p>
    <w:p w:rsidR="00A9487B" w:rsidRDefault="00A9487B" w:rsidP="00A9487B">
      <w:r>
        <w:t xml:space="preserve">Figure 4: </w:t>
      </w:r>
      <w:proofErr w:type="spellStart"/>
      <w:r>
        <w:t>Quantiles</w:t>
      </w:r>
      <w:proofErr w:type="spellEnd"/>
      <w:r>
        <w:t xml:space="preserve"> after 1000 iterations</w:t>
      </w:r>
      <w:r>
        <w:tab/>
      </w:r>
      <w:r>
        <w:tab/>
      </w:r>
      <w:r>
        <w:tab/>
        <w:t xml:space="preserve">Figure 5: </w:t>
      </w:r>
      <w:proofErr w:type="spellStart"/>
      <w:r>
        <w:t>Quantiles</w:t>
      </w:r>
      <w:proofErr w:type="spellEnd"/>
      <w:r>
        <w:t xml:space="preserve"> after 6</w:t>
      </w:r>
      <w:r w:rsidR="009732DD">
        <w:t>9</w:t>
      </w:r>
      <w:r>
        <w:t>00 iterations</w:t>
      </w:r>
    </w:p>
    <w:p w:rsidR="00A9487B" w:rsidRDefault="009732DD" w:rsidP="00A9487B">
      <w:r>
        <w:object w:dxaOrig="3969" w:dyaOrig="1984">
          <v:shape id="_x0000_i1041" type="#_x0000_t75" style="width:198.5pt;height:99pt" o:ole="">
            <v:imagedata r:id="rId39" o:title=""/>
          </v:shape>
          <o:OLEObject Type="Embed" ProgID="Unknown" ShapeID="_x0000_i1041" DrawAspect="Content" ObjectID="_1474128367" r:id="rId40"/>
        </w:object>
      </w:r>
      <w:r w:rsidR="00A9487B" w:rsidRPr="00F57E7E">
        <w:t xml:space="preserve"> </w:t>
      </w:r>
      <w:r>
        <w:object w:dxaOrig="3969" w:dyaOrig="1984">
          <v:shape id="_x0000_i1042" type="#_x0000_t75" style="width:198.5pt;height:99pt" o:ole="">
            <v:imagedata r:id="rId41" o:title=""/>
          </v:shape>
          <o:OLEObject Type="Embed" ProgID="Unknown" ShapeID="_x0000_i1042" DrawAspect="Content" ObjectID="_1474128368" r:id="rId42"/>
        </w:object>
      </w:r>
    </w:p>
    <w:p w:rsidR="00A9487B" w:rsidRDefault="00A9487B" w:rsidP="00A9487B">
      <w:r>
        <w:t>Figure 6: BGR diagnostic after 1000 iterations</w:t>
      </w:r>
      <w:r>
        <w:tab/>
      </w:r>
      <w:r>
        <w:tab/>
      </w:r>
      <w:r w:rsidR="009732DD">
        <w:t>Figure 7</w:t>
      </w:r>
      <w:proofErr w:type="gramStart"/>
      <w:r w:rsidR="009732DD">
        <w:t>:BGR</w:t>
      </w:r>
      <w:proofErr w:type="gramEnd"/>
      <w:r w:rsidR="009732DD">
        <w:t xml:space="preserve"> diagnostic after 69</w:t>
      </w:r>
      <w:r>
        <w:t>00 iterations</w:t>
      </w:r>
    </w:p>
    <w:p w:rsidR="00A9487B" w:rsidRDefault="009732DD" w:rsidP="00A9487B">
      <w:r>
        <w:object w:dxaOrig="3969" w:dyaOrig="1984">
          <v:shape id="_x0000_i1043" type="#_x0000_t75" style="width:198.5pt;height:99pt" o:ole="">
            <v:imagedata r:id="rId43" o:title=""/>
          </v:shape>
          <o:OLEObject Type="Embed" ProgID="Unknown" ShapeID="_x0000_i1043" DrawAspect="Content" ObjectID="_1474128369" r:id="rId44"/>
        </w:object>
      </w:r>
    </w:p>
    <w:p w:rsidR="00A9487B" w:rsidRDefault="009732DD" w:rsidP="00A9487B">
      <w:r>
        <w:tab/>
      </w:r>
      <w:r w:rsidR="00A9487B">
        <w:t>Figure 9: Autocorrelation of mean</w:t>
      </w:r>
      <w:r>
        <w:t xml:space="preserve"> (deviance and </w:t>
      </w:r>
      <w:proofErr w:type="spellStart"/>
      <w:proofErr w:type="gramStart"/>
      <w:r>
        <w:t>sd</w:t>
      </w:r>
      <w:proofErr w:type="spellEnd"/>
      <w:proofErr w:type="gramEnd"/>
      <w:r>
        <w:t xml:space="preserve"> very similar)</w:t>
      </w:r>
    </w:p>
    <w:p w:rsidR="00A9487B" w:rsidRDefault="00A9487B" w:rsidP="00A9487B">
      <w:r>
        <w:t>Justification: Iterations were extended from 1000 to 6</w:t>
      </w:r>
      <w:r w:rsidR="009732DD">
        <w:t>9</w:t>
      </w:r>
      <w:r>
        <w:t xml:space="preserve">00 to so that </w:t>
      </w:r>
      <w:proofErr w:type="spellStart"/>
      <w:r>
        <w:t>quantiles</w:t>
      </w:r>
      <w:proofErr w:type="spellEnd"/>
      <w:r>
        <w:t xml:space="preserve"> for each chain would converge to the same value. The first 1000 iterations were cut because </w:t>
      </w:r>
      <w:proofErr w:type="spellStart"/>
      <w:r>
        <w:t>quantiles</w:t>
      </w:r>
      <w:proofErr w:type="spellEnd"/>
      <w:r>
        <w:t xml:space="preserve"> had not converged. No data were thinned because the autocorrelation graph indicated nearly 0 autocorrelation at all lags 1-100. </w:t>
      </w:r>
    </w:p>
    <w:p w:rsidR="00F90CF9" w:rsidRDefault="00F90CF9" w:rsidP="00A9487B">
      <w:r>
        <w:t>The mean looks very similar to task 1, but if you keep all the data (including first 1000)</w:t>
      </w:r>
      <w:proofErr w:type="gramStart"/>
      <w:r>
        <w:t>,</w:t>
      </w:r>
      <w:proofErr w:type="gramEnd"/>
      <w:r>
        <w:t xml:space="preserve"> the mean is left-skewed compared to the mean in task 1.</w:t>
      </w:r>
    </w:p>
    <w:p w:rsidR="008226D0" w:rsidRDefault="008226D0" w:rsidP="008226D0"/>
    <w:sectPr w:rsidR="00822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D00"/>
    <w:rsid w:val="00040EE0"/>
    <w:rsid w:val="00134633"/>
    <w:rsid w:val="00317D00"/>
    <w:rsid w:val="004F42E3"/>
    <w:rsid w:val="005A641E"/>
    <w:rsid w:val="00604067"/>
    <w:rsid w:val="00812709"/>
    <w:rsid w:val="008226D0"/>
    <w:rsid w:val="008C06B3"/>
    <w:rsid w:val="009732DD"/>
    <w:rsid w:val="009C01CB"/>
    <w:rsid w:val="00A9487B"/>
    <w:rsid w:val="00AB7056"/>
    <w:rsid w:val="00BB7A13"/>
    <w:rsid w:val="00C00B31"/>
    <w:rsid w:val="00F061BD"/>
    <w:rsid w:val="00F57E7E"/>
    <w:rsid w:val="00F83DBA"/>
    <w:rsid w:val="00F9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7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7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rose</cp:lastModifiedBy>
  <cp:revision>16</cp:revision>
  <dcterms:created xsi:type="dcterms:W3CDTF">2014-10-06T19:45:00Z</dcterms:created>
  <dcterms:modified xsi:type="dcterms:W3CDTF">2014-10-06T23:15:00Z</dcterms:modified>
</cp:coreProperties>
</file>