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A597B" w:rsidRDefault="005A597B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bookmarkStart w:id="0" w:name="_GoBack"/>
      <w:r w:rsidRPr="005A597B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В России собрано более 1,4 млн тонн овощей</w:t>
      </w:r>
    </w:p>
    <w:p w:rsidR="005A597B" w:rsidRPr="005A597B" w:rsidRDefault="005A597B" w:rsidP="005A59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597B">
        <w:rPr>
          <w:bCs/>
          <w:color w:val="303030"/>
          <w:sz w:val="28"/>
          <w:szCs w:val="28"/>
        </w:rPr>
        <w:t>Уборочная кампания в России находится в активной фазе – работы проходят в штатном режиме в 56 субъектах страны. В том числе предприятия ведут сбор ранних овощей – капусты, моркови, свеклы столовой и лука, а также томата, огурца и прочих культур. Урожайность в этом году превышает прошлогодние показатели.</w:t>
      </w:r>
    </w:p>
    <w:p w:rsidR="005A597B" w:rsidRPr="005A597B" w:rsidRDefault="005A597B" w:rsidP="005A59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597B">
        <w:rPr>
          <w:color w:val="303030"/>
          <w:sz w:val="28"/>
          <w:szCs w:val="28"/>
        </w:rPr>
        <w:t>Всего в открытом грунте уже собрано более 500 тыс. тонн овощей. Традиционными лидерами по их производству являются Волгоградская, Астраханская, Ростовская, Саратовская и Московская области, Краснодарский и Ставропольский края, а также республики Северного Кавказа.</w:t>
      </w:r>
    </w:p>
    <w:p w:rsidR="005A597B" w:rsidRPr="005A597B" w:rsidRDefault="005A597B" w:rsidP="005A59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597B">
        <w:rPr>
          <w:color w:val="303030"/>
          <w:sz w:val="28"/>
          <w:szCs w:val="28"/>
        </w:rPr>
        <w:t>Также позитивная динамика отмечается в сегменте тепличного овощеводства. С начала года в закрытом грунте выращено уже 919,6 тыс. тонн продукции, что на 4% выше показателя за аналогичный период 2020 года. В том числе собрано 551 тыс. тонн огурцов и 350 тыс. тонн томатов. В десятку регионов-лидеров входят Липецкая, Московская, Волгоградская, Калужская, Новосибирская области, Краснодарский и Ставропольский края, республики Карачаево-Черкессия, Татарстан и Башкортостан.</w:t>
      </w:r>
    </w:p>
    <w:p w:rsidR="005A597B" w:rsidRPr="005A597B" w:rsidRDefault="005A597B" w:rsidP="005A59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597B">
        <w:rPr>
          <w:color w:val="303030"/>
          <w:sz w:val="28"/>
          <w:szCs w:val="28"/>
        </w:rPr>
        <w:t xml:space="preserve">Развитию </w:t>
      </w:r>
      <w:proofErr w:type="spellStart"/>
      <w:r w:rsidRPr="005A597B">
        <w:rPr>
          <w:color w:val="303030"/>
          <w:sz w:val="28"/>
          <w:szCs w:val="28"/>
        </w:rPr>
        <w:t>подотрасли</w:t>
      </w:r>
      <w:proofErr w:type="spellEnd"/>
      <w:r w:rsidRPr="005A597B">
        <w:rPr>
          <w:color w:val="303030"/>
          <w:sz w:val="28"/>
          <w:szCs w:val="28"/>
        </w:rPr>
        <w:t xml:space="preserve"> способствуют меры государственной поддержки. Предприятиям предоставляется компенсирующая и стимулирующая субсидии, а также льготное кредитование.</w:t>
      </w:r>
    </w:p>
    <w:p w:rsidR="005A597B" w:rsidRPr="005A597B" w:rsidRDefault="005A597B" w:rsidP="005A597B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A597B">
        <w:rPr>
          <w:color w:val="303030"/>
          <w:sz w:val="28"/>
          <w:szCs w:val="28"/>
        </w:rPr>
        <w:t>Пресс-служба Минсельхоза России</w:t>
      </w:r>
    </w:p>
    <w:bookmarkEnd w:id="0"/>
    <w:p w:rsidR="005A597B" w:rsidRDefault="005A597B"/>
    <w:sectPr w:rsidR="005A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7B"/>
    <w:rsid w:val="00515B32"/>
    <w:rsid w:val="005A597B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E8FA"/>
  <w15:chartTrackingRefBased/>
  <w15:docId w15:val="{D2B5758D-DA9E-4E9B-8186-3C8FDB9E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2022-04-14T14:42:00Z</dcterms:created>
  <dcterms:modified xsi:type="dcterms:W3CDTF">2022-04-14T14:43:00Z</dcterms:modified>
</cp:coreProperties>
</file>