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ICML 实验方案与评测清单（SoK 风格）</w:t>
        <w:br/>
      </w:r>
    </w:p>
    <w:p>
      <w:pPr>
        <w:jc w:val="center"/>
      </w:pPr>
      <w:r>
        <w:t>主题：基于 MoE 路由权重（Routing Weights, RW）与 LSH（Locality‑Sensitive Hashing）的鲁棒语义水印</w:t>
        <w:br/>
      </w:r>
    </w:p>
    <w:p>
      <w:r>
        <w:rPr>
          <w:b/>
          <w:sz w:val="28"/>
        </w:rPr>
        <w:t>1. 背景与目标（ICML 定位）</w:t>
      </w:r>
    </w:p>
    <w:p>
      <w:r>
        <w:t>问题：传统基于伪随机函数（PRF）的绿色词表水印在强释义与短文本场景下检测功效下滑。利用 MoE 的路由权重（RW）作为内生语义信号，结合 LSH 将连续向量映射为离散签名，驱动 token‑level 的绿色词表选择与统计检测。目标：在生成端近零开销下，提升对释义与黑盒清洗攻击的鲁棒性，同时保持文本质量与易复现性。</w:t>
      </w:r>
    </w:p>
    <w:p>
      <w:r>
        <w:rPr>
          <w:b/>
          <w:sz w:val="28"/>
        </w:rPr>
        <w:t>2. 方法总览与关键直觉</w:t>
      </w:r>
    </w:p>
    <w:p>
      <w:r>
        <w:t>• RW 作为内生语义；• LSH 稳定签名；• 在线嵌入 + z‑score 检测。</w:t>
      </w:r>
    </w:p>
    <w:p>
      <w:r>
        <w:rPr>
          <w:b/>
          <w:sz w:val="28"/>
        </w:rPr>
        <w:t>3. 实验设计与数据集</w:t>
      </w:r>
    </w:p>
    <w:p>
      <w:r>
        <w:t>模型：Mixtral‑8x7B/Instruct、OpenMoE‑8B/34B、Mistral‑3 MoE（对照：Llama‑3/Ministral‑14B 密集）。任务：开放问答、摘要（CTG）、数据到文本。语料：C4/PG‑19/新闻 + 人类写作片段。</w:t>
      </w:r>
    </w:p>
    <w:p>
      <w:r>
        <w:rPr>
          <w:b/>
          <w:sz w:val="28"/>
        </w:rPr>
        <w:t>4. 对比基线（Baselines）</w:t>
      </w:r>
    </w:p>
    <w:p>
      <w:r>
        <w:t>A) 绿色词表水印（ICLR’24）；B) Unigram‑Watermark（ICLR’24）；C) SemStamp（NAACL’24）；D) Multi‑bit 水印（USENIX’25）。</w:t>
      </w:r>
    </w:p>
    <w:p>
      <w:r>
        <w:rPr>
          <w:b/>
          <w:sz w:val="28"/>
        </w:rPr>
        <w:t>5. 攻击与后处理集</w:t>
      </w:r>
    </w:p>
    <w:p>
      <w:r>
        <w:t>释义（人类/LLM/bigram）；黑盒清洗（B4；策略集；RL 自适应）；混合与裁剪（窗口化检测）。</w:t>
      </w:r>
    </w:p>
    <w:p>
      <w:r>
        <w:rPr>
          <w:b/>
          <w:sz w:val="28"/>
        </w:rPr>
        <w:t>6. 指标与统计裁决</w:t>
      </w:r>
    </w:p>
    <w:p>
      <w:r>
        <w:t>AUC、TPR@FPR、z‑score vs n、窗口化检测；质量：Perplexity/ROUGE/BLEU；Z = (X − n·p)/sqrt(n·p·(1−p))。</w:t>
      </w:r>
    </w:p>
    <w:p>
      <w:r>
        <w:rPr>
          <w:b/>
          <w:sz w:val="28"/>
        </w:rPr>
        <w:t>7. 运行时与资源开销</w:t>
      </w:r>
    </w:p>
    <w:p>
      <w:r>
        <w:t>生成端近零；检测端需重构 RW，成本随文本长度线性；报告 tokens/sec、GPU‑小时、峰值内存。</w:t>
      </w:r>
    </w:p>
    <w:p>
      <w:r>
        <w:rPr>
          <w:b/>
          <w:sz w:val="28"/>
        </w:rPr>
        <w:t>8. 复现实验时间线（4–6 周）</w:t>
      </w:r>
    </w:p>
    <w:p>
      <w:r>
        <w:t>第 1–2 周：实现与基线；第 3–4 周：攻击与窗口化；第 5–6 周：跨模型移植与撰写。</w:t>
      </w:r>
    </w:p>
    <w:p>
      <w:r>
        <w:rPr>
          <w:b/>
          <w:sz w:val="28"/>
        </w:rPr>
        <w:t>9. 评审式清单（Checklist）</w:t>
      </w:r>
    </w:p>
    <w:p>
      <w:r>
        <w:t>□ 威胁模型；□ LSH 下界与多层放大；□ 强攻覆盖；□ 系统对比；□ MoE 生态证据；□ 三方折衷曲线。</w:t>
      </w:r>
    </w:p>
    <w:p>
      <w:r>
        <w:rPr>
          <w:b/>
          <w:sz w:val="28"/>
        </w:rPr>
        <w:t>10. 图表草图模板（随附 PNG）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zscore_vs_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1：Z‑score 与文本长度关系（模板）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2：检测 ROC 曲线（模板）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3：质量‑鲁棒‑检测力雷达图（模板）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4：窗口化检测功效曲线（模板）</w:t>
      </w:r>
    </w:p>
    <w:p>
      <w:r>
        <w:rPr>
          <w:b/>
          <w:sz w:val="28"/>
        </w:rPr>
        <w:t>11. 脚本骨架（HF + vLLM/sglang）说明</w:t>
      </w:r>
    </w:p>
    <w:p>
      <w:r>
        <w:t>• hf_moe_lsh_processor.py</w:t>
        <w:br/>
        <w:t>• detect_pipeline.py</w:t>
        <w:br/>
        <w:t>• attacks.py</w:t>
        <w:br/>
        <w:t>• vllm_adapter.py</w:t>
        <w:br/>
        <w:t>• sglang_adapter.py</w:t>
        <w:br/>
        <w:t>• eval_runner.py</w:t>
        <w:br/>
        <w:t>• viz_templates.py</w:t>
      </w:r>
    </w:p>
    <w:p>
      <w:r>
        <w:rPr>
          <w:b/>
          <w:sz w:val="28"/>
        </w:rPr>
        <w:t>12. 风险、伦理与密钥管理</w:t>
      </w:r>
    </w:p>
    <w:p>
      <w:r>
        <w:t>白盒检测适用于平台内治理；公众可验提供窗口化统计降级。密钥轮换与多域隔离。</w:t>
      </w:r>
    </w:p>
    <w:p>
      <w:r>
        <w:rPr>
          <w:b/>
          <w:sz w:val="28"/>
        </w:rPr>
        <w:t>13. 参考文献（精选）</w:t>
      </w:r>
    </w:p>
    <w:p>
      <w:r>
        <w:t>Kirchenbauer ICLR’24；SemStamp NAACL’24；Unigram ICLR’24；Multi‑bit USENIX’25；WaterPark arXiv’25；B4 NAACL’25；OpenMoE/Mixtral/Mistral‑3。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