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CENTRE HOSPITALIER SAINT-AURÉLIEN (CHSA)</w:t>
      </w:r>
    </w:p>
    <w:p>
      <w:pPr>
        <w:pStyle w:val="Title"/>
        <w:jc w:val="left"/>
      </w:pPr>
      <w:r>
        <w:t>CHSA Triage</w:t>
      </w:r>
    </w:p>
    <w:p>
      <w:pPr>
        <w:pStyle w:val="Subtitle"/>
      </w:pPr>
      <w:r>
        <w:t>Agent IA de triage médical — Rapport technique et recommandations stratégiques</w:t>
      </w:r>
    </w:p>
    <w:p/>
    <w:p>
      <w:r>
        <w:t>Spécialisation d'un modèle de base par Fine-Tuning Supervisé (SFT) et alignement par préférences (DPO) pour le déploiement d'un LLM médical d'aide au triage aux urgences.</w:t>
      </w:r>
    </w:p>
    <w:p/>
    <w:p>
      <w:r>
        <w:t>par</w:t>
        <w:tab/>
        <w:t>Rafael Cerezo Martín</w:t>
      </w:r>
    </w:p>
    <w:p>
      <w:r>
        <w:t>AI Engineer — OpenClassrooms</w:t>
      </w:r>
    </w:p>
    <w:p>
      <w:r>
        <w:t>Septembre 2026</w:t>
      </w:r>
    </w:p>
    <w:p/>
    <w:p>
      <w:pPr>
        <w:jc w:val="center"/>
      </w:pPr>
      <w:r>
        <w:drawing>
          <wp:inline xmlns:a="http://schemas.openxmlformats.org/drawingml/2006/main" xmlns:pic="http://schemas.openxmlformats.org/drawingml/2006/picture">
            <wp:extent cx="5760000" cy="9927203"/>
            <wp:docPr id="1" name="Picture 1"/>
            <wp:cNvGraphicFramePr>
              <a:graphicFrameLocks noChangeAspect="1"/>
            </wp:cNvGraphicFramePr>
            <a:graphic>
              <a:graphicData uri="http://schemas.openxmlformats.org/drawingml/2006/picture">
                <pic:pic>
                  <pic:nvPicPr>
                    <pic:cNvPr id="0" name="vision_generale_etapes_v3_detaille.png"/>
                    <pic:cNvPicPr/>
                  </pic:nvPicPr>
                  <pic:blipFill>
                    <a:blip r:embed="rId9"/>
                    <a:stretch>
                      <a:fillRect/>
                    </a:stretch>
                  </pic:blipFill>
                  <pic:spPr>
                    <a:xfrm>
                      <a:off x="0" y="0"/>
                      <a:ext cx="5760000" cy="9927203"/>
                    </a:xfrm>
                    <a:prstGeom prst="rect"/>
                  </pic:spPr>
                </pic:pic>
              </a:graphicData>
            </a:graphic>
          </wp:inline>
        </w:drawing>
      </w:r>
    </w:p>
    <w:p>
      <w:pPr>
        <w:pStyle w:val="Caption"/>
        <w:jc w:val="center"/>
      </w:pPr>
      <w:r>
        <w:rPr>
          <w:i/>
          <w:sz w:val="14"/>
        </w:rPr>
        <w:t>Figure 1 — Vue d'ensemble du pipeline, des données brutes à l'endpoint déployé.</w:t>
      </w:r>
    </w:p>
    <w:p>
      <w:r>
        <w:br w:type="page"/>
      </w:r>
    </w:p>
    <w:p>
      <w:pPr>
        <w:pStyle w:val="Heading1"/>
      </w:pPr>
      <w:r>
        <w:t>Table des matières</w:t>
      </w:r>
    </w:p>
    <w:p>
      <w:r>
        <w:fldChar w:fldCharType="begin"/>
        <w:instrText xml:space="preserve">TOC \o "1-3" \h \z \u</w:instrText>
        <w:fldChar w:fldCharType="separate"/>
        <w:fldChar w:fldCharType="end"/>
      </w:r>
    </w:p>
    <w:p>
      <w:r>
        <w:t>(Mettre à jour les champs dans Word : Ctrl+A puis F9, ou clic droit → « Mettre à jour les champs ».)</w:t>
      </w:r>
    </w:p>
    <w:p>
      <w:r>
        <w:br w:type="page"/>
      </w:r>
    </w:p>
    <w:p>
      <w:pPr>
        <w:sectPr>
          <w:pgSz w:w="11906" w:h="16838"/>
          <w:pgMar w:top="794" w:right="624" w:bottom="567" w:left="624" w:header="720" w:footer="720" w:gutter="0"/>
          <w:cols w:space="720"/>
          <w:docGrid w:linePitch="360"/>
        </w:sectPr>
      </w:pPr>
    </w:p>
    <w:p>
      <w:pPr>
        <w:pStyle w:val="Heading1"/>
      </w:pPr>
      <w:r>
        <w:t>Introduction</w:t>
      </w:r>
    </w:p>
    <w:p>
      <w:r>
        <w:t>Contexte et mission</w:t>
      </w:r>
    </w:p>
    <w:p>
      <w:r>
        <w:t>Le Centre Hospitalier Saint-Aurélien (CHSA) souhaite évaluer l'apport d'un agent conversationnel fondé sur un grand modèle de langage (LLM) pour assister le personnel infirmier lors de l'accueil aux urgences : recueillir les symptômes d'un patient par un court entretien guidé, puis proposer un niveau de priorité de triage (échelle ESI, 1 à 5) à valider par un soignant humain. Ce rapport documente le travail réalisé dans le cadre de cette mission de type proof of concept (POC) : préparation des données, spécialisation du modèle par SFT puis DPO, et déploiement d'un endpoint d'inférence réel.</w:t>
      </w:r>
    </w:p>
    <w:p>
      <w:r>
        <w:t>L'agent n'a volontairement aucun pouvoir de décision clinique autonome : il recueille l'information et propose une classification, mais chaque diagnostic reste soumis à validation par un infirmier avant toute action. Cette limite de périmètre, posée dès le départ, structure une grande partie des choix techniques décrits dans ce rapport (traçabilité systématique, garde-fous de sécurité, format structuré vérifiable).</w:t>
      </w:r>
    </w:p>
    <w:p>
      <w:r>
        <w:t>Contraintes techniques imposées</w:t>
      </w:r>
    </w:p>
    <w:p>
      <w:r>
        <w:t>Le cahier des charges impose un modèle de base Qwen3-1.7B-Base spécialisé par LoRA (SFT puis DPO), un moteur d'inférence vLLM (PagedAttention), une API FastAPI conteneurisée Docker, une anonymisation par Microsoft Presidio et un pipeline CI/CD GitHub Actions. Ces choix ne sont pas discutés ici : ce rapport porte sur leur mise en œuvre et sur les résultats obtenus.</w:t>
      </w:r>
    </w:p>
    <w:p>
      <w:r>
        <w:t>Architecture retenue</w:t>
      </w:r>
    </w:p>
    <w:p>
      <w:r>
        <w:t>Le projet suit une architecture hexagonale (ports/adaptateurs) : le domaine métier (cas d'usage d'entretien et de diagnostic) ignore totalement la technologie d'inférence, de persistance ou d'anonymisation utilisée. Ce choix s'est révélé décisif pendant le déploiement (§4) : la même logique d'entretien fonctionne indifféremment contre un moteur local (llama.cpp), un moteur distant (vLLM) ou un double en mémoire dans les tests, sans aucune modification du code métier. Concrètement, le domaine définit un port `MoteurInference` (une interface abstraite : « générer une réponse à partir de messages ») dont trois adaptateurs distincts implémentent chacun un moyen technique différent d'y répondre — c'est ce découplage qui a permis, pendant l'incident de déploiement (§4.2), de continuer à développer et tester le reste du système sans dépendre en permanence d'un GPU réel disponible.</w:t>
      </w:r>
    </w:p>
    <w:p>
      <w:pPr>
        <w:jc w:val="center"/>
      </w:pPr>
      <w:r>
        <w:drawing>
          <wp:inline xmlns:a="http://schemas.openxmlformats.org/drawingml/2006/main" xmlns:pic="http://schemas.openxmlformats.org/drawingml/2006/picture">
            <wp:extent cx="3060000" cy="856483"/>
            <wp:docPr id="2" name="Picture 2"/>
            <wp:cNvGraphicFramePr>
              <a:graphicFrameLocks noChangeAspect="1"/>
            </wp:cNvGraphicFramePr>
            <a:graphic>
              <a:graphicData uri="http://schemas.openxmlformats.org/drawingml/2006/picture">
                <pic:pic>
                  <pic:nvPicPr>
                    <pic:cNvPr id="0" name="architecture_hexagonale.png"/>
                    <pic:cNvPicPr/>
                  </pic:nvPicPr>
                  <pic:blipFill>
                    <a:blip r:embed="rId10"/>
                    <a:stretch>
                      <a:fillRect/>
                    </a:stretch>
                  </pic:blipFill>
                  <pic:spPr>
                    <a:xfrm>
                      <a:off x="0" y="0"/>
                      <a:ext cx="3060000" cy="856483"/>
                    </a:xfrm>
                    <a:prstGeom prst="rect"/>
                  </pic:spPr>
                </pic:pic>
              </a:graphicData>
            </a:graphic>
          </wp:inline>
        </w:drawing>
      </w:r>
    </w:p>
    <w:p>
      <w:pPr>
        <w:pStyle w:val="Caption"/>
        <w:jc w:val="center"/>
      </w:pPr>
      <w:r>
        <w:rPr>
          <w:i/>
          <w:sz w:val="14"/>
        </w:rPr>
        <w:t>Figure 2 — Architecture hexagonale du projet : domaine, cas d'usage et adaptateurs.</w:t>
      </w:r>
    </w:p>
    <w:p>
      <w:pPr>
        <w:pStyle w:val="Heading2"/>
      </w:pPr>
      <w:r>
        <w:t>Concepts clés</w:t>
      </w:r>
    </w:p>
    <w:p>
      <w:r>
        <w:t>Quatre notions techniques structurent ce rapport ; elles sont introduites brièvement ici pour un lecteur non spécialiste, puis reprises en contexte dans les sections correspondantes.</w:t>
      </w:r>
    </w:p>
    <w:p>
      <w:r>
        <w:t>LoRA (Low-Rank Adaptation) — au lieu de réentraîner les milliards de paramètres d'un modèle de langage, LoRA insère de petites matrices supplémentaires de rang réduit dans certaines couches (typiquement l'attention) et n'entraîne que celles-ci. Le modèle de base reste inchangé et gelé ; l'adaptateur LoRA, lui, ne pèse que quelques dizaines de mégaoctets et peut être chargé ou déchargé à la volée.</w:t>
      </w:r>
    </w:p>
    <w:p>
      <w:r>
        <w:t>SFT (Supervised Fine-Tuning) — spécialisation supervisée classique : le modèle apprend, exemple par exemple, à reproduire une réponse attendue à partir d'un prompt donné. C'est la première phase d'entraînement de ce projet (§2).</w:t>
      </w:r>
    </w:p>
    <w:p>
      <w:r>
        <w:t>DPO (Direct Preference Optimization) — seconde phase d'alignement, qui n'apprend plus à partir d'une seule réponse « vraie » mais à partir de paires (réponse préférée, réponse rejetée) : le modèle apprend à préférer la première à la seconde, ce qui permet d'orienter des qualités plus difficiles à spécifier par un simple exemple (concision, pertinence clinique, absence de dérive).</w:t>
      </w:r>
    </w:p>
    <w:p>
      <w:r>
        <w:t>vLLM et PagedAttention — moteur de service d'inférence imposé par le cahier des charges. PagedAttention gère la mémoire GPU du cache d'attention par pages (comme la mémoire virtuelle d'un système d'exploitation) plutôt que par bloc contigu réservé à l'avance, ce qui permet de servir plusieurs requêtes simultanées sans gaspillage de VRAM. vLLM expose une API compatible OpenAI et sait servir un adaptateur LoRA nativement, sans jamais le fusionner avec le modèle de base.</w:t>
      </w:r>
    </w:p>
    <w:p>
      <w:pPr>
        <w:pStyle w:val="Heading1"/>
      </w:pPr>
      <w:r>
        <w:t>Environnement de développement</w:t>
      </w:r>
    </w:p>
    <w:p>
      <w:r>
        <w:t>Le projet distingue deux environnements de travail, chacun avec son propre jeu de dépendances Python (gérées par `uv`) : un Environnement A local (WSL2, sans GPU, 5 Go de RAM), utilisé pour la préparation des données et le développement courant, et un Environnement B distant (GPU à la demande via Hugging Face Jobs et Spaces Dev Mode), utilisé pour l'entraînement et l'évaluation coûteuse. Un script de vérification dédié à chacun (`check_env_local.py`, `check_env_gpu.py`, `check_env_remote_hf.py`) contrôle les prérequis avant de lancer une étape, plutôt que de découvrir un problème de configuration en cours de run facturé.</w:t>
      </w:r>
    </w:p>
    <w:p>
      <w:r>
        <w:t>La dépendance `torch` est résolue différemment selon l'environnement actif (mécanisme `tool.uv.sources` de `uv`) : une version CPU légère pour l'Environnement A, la version CUDA complète pour l'Environnement B — un défaut d'origine (`torch` toujours résolu en version CUDA, même en local) a été corrigé pendant ce projet et documenté en section Dépannage du README.</w:t>
      </w:r>
    </w:p>
    <w:p>
      <w:r>
        <w:t>La suite de tests automatisés (448 tests au moment de la rédaction, tous verts) couvre le domaine métier, les adaptateurs (avec des doubles en mémoire pour ceux qui nécessitent normalement un GPU ou un réseau réel) et la couche API. Elle s'exécute entièrement dans l'Environnement A, sans GPU, ce qui la rend gratuite à relancer aussi souvent que nécessaire — c'est cette même suite qui s'exécute dans le pipeline CI/CD (§4.3).</w:t>
      </w:r>
    </w:p>
    <w:p>
      <w:pPr>
        <w:pStyle w:val="Heading1"/>
      </w:pPr>
      <w:r>
        <w:t>1. Préparation des données</w:t>
      </w:r>
    </w:p>
    <w:p>
      <w:pPr>
        <w:pStyle w:val="Heading2"/>
      </w:pPr>
      <w:r>
        <w:t>1.1 Méthodologie</w:t>
      </w:r>
    </w:p>
    <w:p>
      <w:r>
        <w:t>Quatre corpus publics ont été collectés et unifiés dans un schéma pivot commun (JSON, bilingue FR/EN) : MediQAl (questions/réponses médicales, déclinées en trois sous-formats OEQ, MCQU, MCQM), FrenchMedMCQA (QCM pharmacie/médecine), MedQuAD (questions/réponses médicales) et UltraMedical-Preference (paires choisies/rejetées, seule source directement exploitable pour le DPO sans reformulation). Chaque exemple pivot porte un identifiant déterministe (`chsa-&lt;source&gt;-&lt;uuid&gt;`), une source, une langue, un type (sft ou dpo) et, lorsqu'ils sont disponibles, des champs cliniques structurés (symptômes, antécédents, constantes vitales : pression artérielle, fréquence cardiaque, SpO2, fréquence respiratoire).</w:t>
      </w:r>
    </w:p>
    <w:p>
      <w:r>
        <w:t>La fusion des quatre sources en un pivot unique déduplique par identifiant déterministe : sur l'ensemble des exemples collectés, 12 321 doublons exacts ont été détectés et écartés (archivés séparément plutôt que simplement supprimés, pour traçabilité).</w:t>
      </w:r>
    </w:p>
    <w:p>
      <w:pPr>
        <w:jc w:val="center"/>
      </w:pPr>
      <w:r>
        <w:drawing>
          <wp:inline xmlns:a="http://schemas.openxmlformats.org/drawingml/2006/main" xmlns:pic="http://schemas.openxmlformats.org/drawingml/2006/picture">
            <wp:extent cx="3060000" cy="4284961"/>
            <wp:docPr id="3" name="Picture 3"/>
            <wp:cNvGraphicFramePr>
              <a:graphicFrameLocks noChangeAspect="1"/>
            </wp:cNvGraphicFramePr>
            <a:graphic>
              <a:graphicData uri="http://schemas.openxmlformats.org/drawingml/2006/picture">
                <pic:pic>
                  <pic:nvPicPr>
                    <pic:cNvPr id="0" name="construction_dataset_pivot.png"/>
                    <pic:cNvPicPr/>
                  </pic:nvPicPr>
                  <pic:blipFill>
                    <a:blip r:embed="rId11"/>
                    <a:stretch>
                      <a:fillRect/>
                    </a:stretch>
                  </pic:blipFill>
                  <pic:spPr>
                    <a:xfrm>
                      <a:off x="0" y="0"/>
                      <a:ext cx="3060000" cy="4284961"/>
                    </a:xfrm>
                    <a:prstGeom prst="rect"/>
                  </pic:spPr>
                </pic:pic>
              </a:graphicData>
            </a:graphic>
          </wp:inline>
        </w:drawing>
      </w:r>
    </w:p>
    <w:p>
      <w:pPr>
        <w:pStyle w:val="Caption"/>
        <w:jc w:val="center"/>
      </w:pPr>
      <w:r>
        <w:rPr>
          <w:i/>
          <w:sz w:val="14"/>
        </w:rPr>
        <w:t>Figure 3 — Construction du dataset pivot : fusion et déduplication des quatre sources.</w:t>
      </w:r>
    </w:p>
    <w:p>
      <w:pPr>
        <w:pStyle w:val="Heading2"/>
      </w:pPr>
      <w:r>
        <w:t>1.2 Anonymisation et contrôle qualité</w:t>
      </w:r>
    </w:p>
    <w:p>
      <w:r>
        <w:t>L'anonymisation (Microsoft Presidio, imposée au cahier des charges) retire les identifiants directs (noms, dates, identifiants de dossier, coordonnées) avant toute publication sur le Hub Hugging Face. Presidio fonctionne par détection d'entités (reconnaisseurs dédiés par type de PII, combinables avec des règles spécifiques au domaine médical) suivie d'une stratégie de remplacement configurable ; une révision manuelle de la PII résiduelle et un contrôle qualité systématique sur un échantillon stratifié complètent la détection automatique, qui n'est jamais supposée parfaite à elle seule sur un texte clinique libre.</w:t>
      </w:r>
    </w:p>
    <w:p>
      <w:pPr>
        <w:jc w:val="center"/>
      </w:pPr>
      <w:r>
        <w:drawing>
          <wp:inline xmlns:a="http://schemas.openxmlformats.org/drawingml/2006/main" xmlns:pic="http://schemas.openxmlformats.org/drawingml/2006/picture">
            <wp:extent cx="3060000" cy="5772685"/>
            <wp:docPr id="4" name="Picture 4"/>
            <wp:cNvGraphicFramePr>
              <a:graphicFrameLocks noChangeAspect="1"/>
            </wp:cNvGraphicFramePr>
            <a:graphic>
              <a:graphicData uri="http://schemas.openxmlformats.org/drawingml/2006/picture">
                <pic:pic>
                  <pic:nvPicPr>
                    <pic:cNvPr id="0" name="anonymiser_dataset.png"/>
                    <pic:cNvPicPr/>
                  </pic:nvPicPr>
                  <pic:blipFill>
                    <a:blip r:embed="rId12"/>
                    <a:stretch>
                      <a:fillRect/>
                    </a:stretch>
                  </pic:blipFill>
                  <pic:spPr>
                    <a:xfrm>
                      <a:off x="0" y="0"/>
                      <a:ext cx="3060000" cy="5772685"/>
                    </a:xfrm>
                    <a:prstGeom prst="rect"/>
                  </pic:spPr>
                </pic:pic>
              </a:graphicData>
            </a:graphic>
          </wp:inline>
        </w:drawing>
      </w:r>
    </w:p>
    <w:p>
      <w:pPr>
        <w:pStyle w:val="Caption"/>
        <w:jc w:val="center"/>
      </w:pPr>
      <w:r>
        <w:rPr>
          <w:i/>
          <w:sz w:val="14"/>
        </w:rPr>
        <w:t>Figure 4 — Séquence d'anonymisation : détection Presidio, remplacement, contrôle qualité.</w:t>
      </w:r>
    </w:p>
    <w:p>
      <w:r>
        <w:t>L'anonymisation complète a porté sur 134 883 exemples (pivot dédupliqué). Le découpage final, stratifié par source et vérifié automatiquement (écart maximal toléré entre strates), répartit ces exemples en 37 802 exemples éligibles SFT et 97 081 exemples éligibles DPO.</w:t>
      </w:r>
    </w:p>
    <w:p>
      <w:pPr>
        <w:jc w:val="center"/>
      </w:pPr>
      <w:r>
        <w:drawing>
          <wp:inline xmlns:a="http://schemas.openxmlformats.org/drawingml/2006/main" xmlns:pic="http://schemas.openxmlformats.org/drawingml/2006/picture">
            <wp:extent cx="3060000" cy="3925778"/>
            <wp:docPr id="5" name="Picture 5"/>
            <wp:cNvGraphicFramePr>
              <a:graphicFrameLocks noChangeAspect="1"/>
            </wp:cNvGraphicFramePr>
            <a:graphic>
              <a:graphicData uri="http://schemas.openxmlformats.org/drawingml/2006/picture">
                <pic:pic>
                  <pic:nvPicPr>
                    <pic:cNvPr id="0" name="pipeline_donnees.png"/>
                    <pic:cNvPicPr/>
                  </pic:nvPicPr>
                  <pic:blipFill>
                    <a:blip r:embed="rId13"/>
                    <a:stretch>
                      <a:fillRect/>
                    </a:stretch>
                  </pic:blipFill>
                  <pic:spPr>
                    <a:xfrm>
                      <a:off x="0" y="0"/>
                      <a:ext cx="3060000" cy="3925778"/>
                    </a:xfrm>
                    <a:prstGeom prst="rect"/>
                  </pic:spPr>
                </pic:pic>
              </a:graphicData>
            </a:graphic>
          </wp:inline>
        </w:drawing>
      </w:r>
    </w:p>
    <w:p>
      <w:pPr>
        <w:pStyle w:val="Caption"/>
        <w:jc w:val="center"/>
      </w:pPr>
      <w:r>
        <w:rPr>
          <w:i/>
          <w:sz w:val="14"/>
        </w:rPr>
        <w:t>Figure 5 — Pipeline complet de préparation des données : collecte, pivot, anonymisation, splits.</w:t>
      </w:r>
    </w:p>
    <w:p>
      <w:pPr>
        <w:pStyle w:val="Heading2"/>
      </w:pPr>
      <w:r>
        <w:t>1.3 Résultat</w:t>
      </w:r>
    </w:p>
    <w:p>
      <w:pPr>
        <w:jc w:val="center"/>
      </w:pPr>
      <w:r>
        <w:rPr>
          <w:i/>
          <w:sz w:val="14"/>
        </w:rPr>
        <w:t>Tableau 1 — Volumes réels du jeu de données à chaque étape (README §1).</w:t>
      </w:r>
    </w:p>
    <w:tbl>
      <w:tblPr>
        <w:tblStyle w:val="LightGrid-Accent1"/>
        <w:tblW w:type="auto" w:w="0"/>
        <w:tblLook w:firstColumn="1" w:firstRow="1" w:lastColumn="0" w:lastRow="0" w:noHBand="0" w:noVBand="1" w:val="04A0"/>
      </w:tblPr>
      <w:tblGrid>
        <w:gridCol w:w="5329"/>
        <w:gridCol w:w="5329"/>
      </w:tblGrid>
      <w:tr>
        <w:tc>
          <w:tcPr>
            <w:tcW w:type="dxa" w:w="5329"/>
          </w:tcPr>
          <w:p>
            <w:r>
              <w:rPr>
                <w:b/>
                <w:sz w:val="14"/>
              </w:rPr>
              <w:t>Étape</w:t>
            </w:r>
          </w:p>
        </w:tc>
        <w:tc>
          <w:tcPr>
            <w:tcW w:type="dxa" w:w="5329"/>
          </w:tcPr>
          <w:p>
            <w:r>
              <w:rPr>
                <w:b/>
                <w:sz w:val="14"/>
              </w:rPr>
              <w:t>Volume</w:t>
            </w:r>
          </w:p>
        </w:tc>
      </w:tr>
      <w:tr>
        <w:tc>
          <w:tcPr>
            <w:tcW w:type="dxa" w:w="5329"/>
          </w:tcPr>
          <w:p>
            <w:r>
              <w:rPr>
                <w:sz w:val="14"/>
              </w:rPr>
              <w:t>Exemples collectés (4 corpus bruts)</w:t>
            </w:r>
          </w:p>
        </w:tc>
        <w:tc>
          <w:tcPr>
            <w:tcW w:type="dxa" w:w="5329"/>
          </w:tcPr>
          <w:p>
            <w:r>
              <w:rPr>
                <w:sz w:val="14"/>
              </w:rPr>
              <w:t>134 883 + 12 321 doublons écartés</w:t>
            </w:r>
          </w:p>
        </w:tc>
      </w:tr>
      <w:tr>
        <w:tc>
          <w:tcPr>
            <w:tcW w:type="dxa" w:w="5329"/>
          </w:tcPr>
          <w:p>
            <w:r>
              <w:rPr>
                <w:sz w:val="14"/>
              </w:rPr>
              <w:t>Pivot anonymisé (après déduplication)</w:t>
            </w:r>
          </w:p>
        </w:tc>
        <w:tc>
          <w:tcPr>
            <w:tcW w:type="dxa" w:w="5329"/>
          </w:tcPr>
          <w:p>
            <w:r>
              <w:rPr>
                <w:sz w:val="14"/>
              </w:rPr>
              <w:t>134 883 exemples</w:t>
            </w:r>
          </w:p>
        </w:tc>
      </w:tr>
      <w:tr>
        <w:tc>
          <w:tcPr>
            <w:tcW w:type="dxa" w:w="5329"/>
          </w:tcPr>
          <w:p>
            <w:r>
              <w:rPr>
                <w:sz w:val="14"/>
              </w:rPr>
              <w:t>Split éligible SFT</w:t>
            </w:r>
          </w:p>
        </w:tc>
        <w:tc>
          <w:tcPr>
            <w:tcW w:type="dxa" w:w="5329"/>
          </w:tcPr>
          <w:p>
            <w:r>
              <w:rPr>
                <w:sz w:val="14"/>
              </w:rPr>
              <w:t>37 802 exemples</w:t>
            </w:r>
          </w:p>
        </w:tc>
      </w:tr>
      <w:tr>
        <w:tc>
          <w:tcPr>
            <w:tcW w:type="dxa" w:w="5329"/>
          </w:tcPr>
          <w:p>
            <w:r>
              <w:rPr>
                <w:sz w:val="14"/>
              </w:rPr>
              <w:t>Split éligible DPO</w:t>
            </w:r>
          </w:p>
        </w:tc>
        <w:tc>
          <w:tcPr>
            <w:tcW w:type="dxa" w:w="5329"/>
          </w:tcPr>
          <w:p>
            <w:r>
              <w:rPr>
                <w:sz w:val="14"/>
              </w:rPr>
              <w:t>97 081 exemples</w:t>
            </w:r>
          </w:p>
        </w:tc>
      </w:tr>
      <w:tr>
        <w:tc>
          <w:tcPr>
            <w:tcW w:type="dxa" w:w="5329"/>
          </w:tcPr>
          <w:p>
            <w:r>
              <w:rPr>
                <w:sz w:val="14"/>
              </w:rPr>
              <w:t>Sous-ensemble publié SFT (Livrable 1)</w:t>
            </w:r>
          </w:p>
        </w:tc>
        <w:tc>
          <w:tcPr>
            <w:tcW w:type="dxa" w:w="5329"/>
          </w:tcPr>
          <w:p>
            <w:r>
              <w:rPr>
                <w:sz w:val="14"/>
              </w:rPr>
              <w:t>5 000 exemples</w:t>
            </w:r>
          </w:p>
        </w:tc>
      </w:tr>
      <w:tr>
        <w:tc>
          <w:tcPr>
            <w:tcW w:type="dxa" w:w="5329"/>
          </w:tcPr>
          <w:p>
            <w:r>
              <w:rPr>
                <w:sz w:val="14"/>
              </w:rPr>
              <w:t>Sous-ensemble publié DPO (Livrable 1)</w:t>
            </w:r>
          </w:p>
        </w:tc>
        <w:tc>
          <w:tcPr>
            <w:tcW w:type="dxa" w:w="5329"/>
          </w:tcPr>
          <w:p>
            <w:r>
              <w:rPr>
                <w:sz w:val="14"/>
              </w:rPr>
              <w:t>5 000 exemples</w:t>
            </w:r>
          </w:p>
        </w:tc>
      </w:tr>
      <w:tr>
        <w:tc>
          <w:tcPr>
            <w:tcW w:type="dxa" w:w="5329"/>
          </w:tcPr>
          <w:p>
            <w:r>
              <w:rPr>
                <w:sz w:val="14"/>
              </w:rPr>
              <w:t>Jeu de test clinique (évaluation)</w:t>
            </w:r>
          </w:p>
        </w:tc>
        <w:tc>
          <w:tcPr>
            <w:tcW w:type="dxa" w:w="5329"/>
          </w:tcPr>
          <w:p>
            <w:r>
              <w:rPr>
                <w:sz w:val="14"/>
              </w:rPr>
              <w:t>278 exemples</w:t>
            </w:r>
          </w:p>
        </w:tc>
      </w:tr>
    </w:tbl>
    <w:p/>
    <w:p>
      <w:r>
        <w:t>Le cahier des charges (Livrable 1) demandant un jeu d'entraînement de l'ordre de 5000 paires, un sous-ensemble filtré et stratifié de cette taille est extrait de chaque split (SFT et DPO) pour publication et entraînement réel — le pivot complet (134 883 exemples) reste disponible pour d'éventuels travaux futurs à plus grande échelle. L'ensemble est publié et versionné sur le Hub Hugging Face (dépôts privés dédiés à chaque étape), bilingue, anonymisé et prêt pour l'entraînement.</w:t>
      </w:r>
    </w:p>
    <w:p>
      <w:pPr>
        <w:pStyle w:val="Heading1"/>
      </w:pPr>
      <w:r>
        <w:t>2. SFT + LoRA</w:t>
      </w:r>
    </w:p>
    <w:p>
      <w:pPr>
        <w:pStyle w:val="Heading2"/>
      </w:pPr>
      <w:r>
        <w:t>2.1 Méthodologie</w:t>
      </w:r>
    </w:p>
    <w:p>
      <w:r>
        <w:t>Le modèle de base Qwen3-1.7B-Base est spécialisé par fine-tuning supervisé (SFT) avec un adaptateur LoRA plutôt qu'un fine-tuning complet : seule une fraction des paramètres est entraînée, ce qui réduit drastiquement le coût mémoire et de calcul tout en conservant les capacités générales du modèle de base — un compromis adapté à un POC avec budget de calcul contraint. Le chargement s'effectue en quantification 4-bit (`BitsAndBytesConfig`) pour l'entraînement sur une seule GPU distante (HF Jobs).</w:t>
      </w:r>
    </w:p>
    <w:p>
      <w:pPr>
        <w:jc w:val="center"/>
      </w:pPr>
      <w:r>
        <w:rPr>
          <w:i/>
          <w:sz w:val="14"/>
        </w:rPr>
        <w:t>Tableau 2 — Configuration réelle de l'entraînement SFT-LoRA (recipes/sft_qwen3_lora.yaml, README « Explication du contenu de la recette »).</w:t>
      </w:r>
    </w:p>
    <w:tbl>
      <w:tblPr>
        <w:tblStyle w:val="LightGrid-Accent1"/>
        <w:tblW w:type="auto" w:w="0"/>
        <w:tblLook w:firstColumn="1" w:firstRow="1" w:lastColumn="0" w:lastRow="0" w:noHBand="0" w:noVBand="1" w:val="04A0"/>
      </w:tblPr>
      <w:tblGrid>
        <w:gridCol w:w="3553"/>
        <w:gridCol w:w="3553"/>
        <w:gridCol w:w="3553"/>
      </w:tblGrid>
      <w:tr>
        <w:tc>
          <w:tcPr>
            <w:tcW w:type="dxa" w:w="3553"/>
          </w:tcPr>
          <w:p>
            <w:r>
              <w:rPr>
                <w:b/>
                <w:sz w:val="14"/>
              </w:rPr>
              <w:t>Paramètre</w:t>
            </w:r>
          </w:p>
        </w:tc>
        <w:tc>
          <w:tcPr>
            <w:tcW w:type="dxa" w:w="3553"/>
          </w:tcPr>
          <w:p>
            <w:r>
              <w:rPr>
                <w:b/>
                <w:sz w:val="14"/>
              </w:rPr>
              <w:t>Valeur</w:t>
            </w:r>
          </w:p>
        </w:tc>
        <w:tc>
          <w:tcPr>
            <w:tcW w:type="dxa" w:w="3553"/>
          </w:tcPr>
          <w:p>
            <w:r>
              <w:rPr>
                <w:b/>
                <w:sz w:val="14"/>
              </w:rPr>
              <w:t>Rôle</w:t>
            </w:r>
          </w:p>
        </w:tc>
      </w:tr>
      <w:tr>
        <w:tc>
          <w:tcPr>
            <w:tcW w:type="dxa" w:w="3553"/>
          </w:tcPr>
          <w:p>
            <w:r>
              <w:rPr>
                <w:sz w:val="14"/>
              </w:rPr>
              <w:t>Quantification</w:t>
            </w:r>
          </w:p>
        </w:tc>
        <w:tc>
          <w:tcPr>
            <w:tcW w:type="dxa" w:w="3553"/>
          </w:tcPr>
          <w:p>
            <w:r>
              <w:rPr>
                <w:sz w:val="14"/>
              </w:rPr>
              <w:t>nf4, double, bf16</w:t>
            </w:r>
          </w:p>
        </w:tc>
        <w:tc>
          <w:tcPr>
            <w:tcW w:type="dxa" w:w="3553"/>
          </w:tcPr>
          <w:p>
            <w:r>
              <w:rPr>
                <w:sz w:val="14"/>
              </w:rPr>
              <w:t>Divise par 4 la VRAM du modèle base</w:t>
            </w:r>
          </w:p>
        </w:tc>
      </w:tr>
      <w:tr>
        <w:tc>
          <w:tcPr>
            <w:tcW w:type="dxa" w:w="3553"/>
          </w:tcPr>
          <w:p>
            <w:r>
              <w:rPr>
                <w:sz w:val="14"/>
              </w:rPr>
              <w:t>Rang LoRA (r)</w:t>
            </w:r>
          </w:p>
        </w:tc>
        <w:tc>
          <w:tcPr>
            <w:tcW w:type="dxa" w:w="3553"/>
          </w:tcPr>
          <w:p>
            <w:r>
              <w:rPr>
                <w:sz w:val="14"/>
              </w:rPr>
              <w:t>16</w:t>
            </w:r>
          </w:p>
        </w:tc>
        <w:tc>
          <w:tcPr>
            <w:tcW w:type="dxa" w:w="3553"/>
          </w:tcPr>
          <w:p>
            <w:r>
              <w:rPr>
                <w:sz w:val="14"/>
              </w:rPr>
              <w:t>Capacité de l'adaptateur</w:t>
            </w:r>
          </w:p>
        </w:tc>
      </w:tr>
      <w:tr>
        <w:tc>
          <w:tcPr>
            <w:tcW w:type="dxa" w:w="3553"/>
          </w:tcPr>
          <w:p>
            <w:r>
              <w:rPr>
                <w:sz w:val="14"/>
              </w:rPr>
              <w:t>Alpha LoRA</w:t>
            </w:r>
          </w:p>
        </w:tc>
        <w:tc>
          <w:tcPr>
            <w:tcW w:type="dxa" w:w="3553"/>
          </w:tcPr>
          <w:p>
            <w:r>
              <w:rPr>
                <w:sz w:val="14"/>
              </w:rPr>
              <w:t>32 (2r)</w:t>
            </w:r>
          </w:p>
        </w:tc>
        <w:tc>
          <w:tcPr>
            <w:tcW w:type="dxa" w:w="3553"/>
          </w:tcPr>
          <w:p>
            <w:r>
              <w:rPr>
                <w:sz w:val="14"/>
              </w:rPr>
              <w:t>Échelle de la mise à jour, règle standard</w:t>
            </w:r>
          </w:p>
        </w:tc>
      </w:tr>
      <w:tr>
        <w:tc>
          <w:tcPr>
            <w:tcW w:type="dxa" w:w="3553"/>
          </w:tcPr>
          <w:p>
            <w:r>
              <w:rPr>
                <w:sz w:val="14"/>
              </w:rPr>
              <w:t>Dropout LoRA</w:t>
            </w:r>
          </w:p>
        </w:tc>
        <w:tc>
          <w:tcPr>
            <w:tcW w:type="dxa" w:w="3553"/>
          </w:tcPr>
          <w:p>
            <w:r>
              <w:rPr>
                <w:sz w:val="14"/>
              </w:rPr>
              <w:t>0,05</w:t>
            </w:r>
          </w:p>
        </w:tc>
        <w:tc>
          <w:tcPr>
            <w:tcW w:type="dxa" w:w="3553"/>
          </w:tcPr>
          <w:p>
            <w:r>
              <w:rPr>
                <w:sz w:val="14"/>
              </w:rPr>
              <w:t>Régularisation anti-surapprentissage</w:t>
            </w:r>
          </w:p>
        </w:tc>
      </w:tr>
      <w:tr>
        <w:tc>
          <w:tcPr>
            <w:tcW w:type="dxa" w:w="3553"/>
          </w:tcPr>
          <w:p>
            <w:r>
              <w:rPr>
                <w:sz w:val="14"/>
              </w:rPr>
              <w:t>Modules cibles</w:t>
            </w:r>
          </w:p>
        </w:tc>
        <w:tc>
          <w:tcPr>
            <w:tcW w:type="dxa" w:w="3553"/>
          </w:tcPr>
          <w:p>
            <w:r>
              <w:rPr>
                <w:sz w:val="14"/>
              </w:rPr>
              <w:t>q, k, v, o_proj</w:t>
            </w:r>
          </w:p>
        </w:tc>
        <w:tc>
          <w:tcPr>
            <w:tcW w:type="dxa" w:w="3553"/>
          </w:tcPr>
          <w:p>
            <w:r>
              <w:rPr>
                <w:sz w:val="14"/>
              </w:rPr>
              <w:t>Attention seulement, adaptateur léger</w:t>
            </w:r>
          </w:p>
        </w:tc>
      </w:tr>
      <w:tr>
        <w:tc>
          <w:tcPr>
            <w:tcW w:type="dxa" w:w="3553"/>
          </w:tcPr>
          <w:p>
            <w:r>
              <w:rPr>
                <w:sz w:val="14"/>
              </w:rPr>
              <w:t>Taux d'apprentissage</w:t>
            </w:r>
          </w:p>
        </w:tc>
        <w:tc>
          <w:tcPr>
            <w:tcW w:type="dxa" w:w="3553"/>
          </w:tcPr>
          <w:p>
            <w:r>
              <w:rPr>
                <w:sz w:val="14"/>
              </w:rPr>
              <w:t>2·10⁻⁴</w:t>
            </w:r>
          </w:p>
        </w:tc>
        <w:tc>
          <w:tcPr>
            <w:tcW w:type="dxa" w:w="3553"/>
          </w:tcPr>
          <w:p>
            <w:r>
              <w:rPr>
                <w:sz w:val="14"/>
              </w:rPr>
              <w:t>Valeur typique LoRA</w:t>
            </w:r>
          </w:p>
        </w:tc>
      </w:tr>
      <w:tr>
        <w:tc>
          <w:tcPr>
            <w:tcW w:type="dxa" w:w="3553"/>
          </w:tcPr>
          <w:p>
            <w:r>
              <w:rPr>
                <w:sz w:val="14"/>
              </w:rPr>
              <w:t>Époques</w:t>
            </w:r>
          </w:p>
        </w:tc>
        <w:tc>
          <w:tcPr>
            <w:tcW w:type="dxa" w:w="3553"/>
          </w:tcPr>
          <w:p>
            <w:r>
              <w:rPr>
                <w:sz w:val="14"/>
              </w:rPr>
              <w:t>3</w:t>
            </w:r>
          </w:p>
        </w:tc>
        <w:tc>
          <w:tcPr>
            <w:tcW w:type="dxa" w:w="3553"/>
          </w:tcPr>
          <w:p>
            <w:r>
              <w:rPr>
                <w:sz w:val="14"/>
              </w:rPr>
              <w:t>Compromis apprentissage/mémorisation</w:t>
            </w:r>
          </w:p>
        </w:tc>
      </w:tr>
      <w:tr>
        <w:tc>
          <w:tcPr>
            <w:tcW w:type="dxa" w:w="3553"/>
          </w:tcPr>
          <w:p>
            <w:r>
              <w:rPr>
                <w:sz w:val="14"/>
              </w:rPr>
              <w:t>Taille de lot</w:t>
            </w:r>
          </w:p>
        </w:tc>
        <w:tc>
          <w:tcPr>
            <w:tcW w:type="dxa" w:w="3553"/>
          </w:tcPr>
          <w:p>
            <w:r>
              <w:rPr>
                <w:sz w:val="14"/>
              </w:rPr>
              <w:t>4</w:t>
            </w:r>
          </w:p>
        </w:tc>
        <w:tc>
          <w:tcPr>
            <w:tcW w:type="dxa" w:w="3553"/>
          </w:tcPr>
          <w:p>
            <w:r>
              <w:rPr>
                <w:sz w:val="14"/>
              </w:rPr>
              <w:t>Limité par la VRAM disponible</w:t>
            </w:r>
          </w:p>
        </w:tc>
      </w:tr>
      <w:tr>
        <w:tc>
          <w:tcPr>
            <w:tcW w:type="dxa" w:w="3553"/>
          </w:tcPr>
          <w:p>
            <w:r>
              <w:rPr>
                <w:sz w:val="14"/>
              </w:rPr>
              <w:t>Packing</w:t>
            </w:r>
          </w:p>
        </w:tc>
        <w:tc>
          <w:tcPr>
            <w:tcW w:type="dxa" w:w="3553"/>
          </w:tcPr>
          <w:p>
            <w:r>
              <w:rPr>
                <w:sz w:val="14"/>
              </w:rPr>
              <w:t>activé</w:t>
            </w:r>
          </w:p>
        </w:tc>
        <w:tc>
          <w:tcPr>
            <w:tcW w:type="dxa" w:w="3553"/>
          </w:tcPr>
          <w:p>
            <w:r>
              <w:rPr>
                <w:sz w:val="14"/>
              </w:rPr>
              <w:t>GPU utilisé à ~100% (vs 40-60% en padding classique)</w:t>
            </w:r>
          </w:p>
        </w:tc>
      </w:tr>
    </w:tbl>
    <w:p/>
    <w:p>
      <w:r>
        <w:t>Le type de quantification `nf4` (« NormalFloat 4-bit ») est un format numérique optimisé pour des poids à distribution approximativement gaussienne, plus précis à taille égale que le format `fp4` générique — à ne pas confondre avec le garde-fou de sécurité clinique NF4 discuté en §5, homonyme sans lien technique.</w:t>
      </w:r>
    </w:p>
    <w:p>
      <w:r>
        <w:t>L'évaluation baseline zero-shot (modèle non spécialisé) sert de point de comparaison avant tout entraînement, sur le même jeu de test clinique (278 exemples) que les évaluations post-SFT et post-DPO.</w:t>
      </w:r>
    </w:p>
    <w:p>
      <w:pPr>
        <w:jc w:val="center"/>
      </w:pPr>
      <w:r>
        <w:drawing>
          <wp:inline xmlns:a="http://schemas.openxmlformats.org/drawingml/2006/main" xmlns:pic="http://schemas.openxmlformats.org/drawingml/2006/picture">
            <wp:extent cx="3060000" cy="3081754"/>
            <wp:docPr id="6" name="Picture 6"/>
            <wp:cNvGraphicFramePr>
              <a:graphicFrameLocks noChangeAspect="1"/>
            </wp:cNvGraphicFramePr>
            <a:graphic>
              <a:graphicData uri="http://schemas.openxmlformats.org/drawingml/2006/picture">
                <pic:pic>
                  <pic:nvPicPr>
                    <pic:cNvPr id="0" name="pipeline_sft_lora.png"/>
                    <pic:cNvPicPr/>
                  </pic:nvPicPr>
                  <pic:blipFill>
                    <a:blip r:embed="rId14"/>
                    <a:stretch>
                      <a:fillRect/>
                    </a:stretch>
                  </pic:blipFill>
                  <pic:spPr>
                    <a:xfrm>
                      <a:off x="0" y="0"/>
                      <a:ext cx="3060000" cy="3081754"/>
                    </a:xfrm>
                    <a:prstGeom prst="rect"/>
                  </pic:spPr>
                </pic:pic>
              </a:graphicData>
            </a:graphic>
          </wp:inline>
        </w:drawing>
      </w:r>
    </w:p>
    <w:p>
      <w:pPr>
        <w:pStyle w:val="Caption"/>
        <w:jc w:val="center"/>
      </w:pPr>
      <w:r>
        <w:rPr>
          <w:i/>
          <w:sz w:val="14"/>
        </w:rPr>
        <w:t>Figure 6 — Pipeline SFT+LoRA : baseline, entraînement, évaluation post-SFT.</w:t>
      </w:r>
    </w:p>
    <w:p>
      <w:pPr>
        <w:pStyle w:val="Heading2"/>
      </w:pPr>
      <w:r>
        <w:t>2.2 Résultat</w:t>
      </w:r>
    </w:p>
    <w:p>
      <w:r>
        <w:t>Le premier entraînement réel a été mené à son terme sur GPU L4 en environ 20 minutes (342 pas, 3 époques), verdict de convergence SAINE. Le checkpoint SFT-LoRA atteint un F1 (token) d'environ 0,112 sur le jeu de test clinique — la valeur de référence à laquelle le DPO est ensuite comparé (§3). C'est ce checkpoint qui sert de politique de référence (π_ref) pour l'alignement par préférences, et ses poids sont publiés durablement sur le Hub (dépôt privé dédié).</w:t>
      </w:r>
    </w:p>
    <w:p>
      <w:pPr>
        <w:pStyle w:val="Heading1"/>
      </w:pPr>
      <w:r>
        <w:t>3. DPO (Direct Preference Optimization)</w:t>
      </w:r>
    </w:p>
    <w:p>
      <w:pPr>
        <w:pStyle w:val="Heading2"/>
      </w:pPr>
      <w:r>
        <w:t>3.1 Méthodologie</w:t>
      </w:r>
    </w:p>
    <w:p>
      <w:r>
        <w:t>Le DPO aligne le modèle sur des paires de préférence (réponse choisie / réponse rejetée) sans modèle de récompense séparé : la perte compare directement, sous forme de log-vraisemblance, la politique en cours d'entraînement à la politique de référence figée (le checkpoint SFT). L'hyperparamètre β contrôle la force de cet ancrage à la référence : plus β est faible, plus le modèle est autorisé à s'écarter de π_ref, au risque d'une dérive de génération non capturée par la seule perte d'entraînement (§3.2).</w:t>
      </w:r>
    </w:p>
    <w:p>
      <w:pPr>
        <w:jc w:val="center"/>
      </w:pPr>
      <w:r>
        <w:drawing>
          <wp:inline xmlns:a="http://schemas.openxmlformats.org/drawingml/2006/main" xmlns:pic="http://schemas.openxmlformats.org/drawingml/2006/picture">
            <wp:extent cx="3060000" cy="2339492"/>
            <wp:docPr id="7" name="Picture 7"/>
            <wp:cNvGraphicFramePr>
              <a:graphicFrameLocks noChangeAspect="1"/>
            </wp:cNvGraphicFramePr>
            <a:graphic>
              <a:graphicData uri="http://schemas.openxmlformats.org/drawingml/2006/picture">
                <pic:pic>
                  <pic:nvPicPr>
                    <pic:cNvPr id="0" name="dpo_double_fonction_entrainement.png"/>
                    <pic:cNvPicPr/>
                  </pic:nvPicPr>
                  <pic:blipFill>
                    <a:blip r:embed="rId15"/>
                    <a:stretch>
                      <a:fillRect/>
                    </a:stretch>
                  </pic:blipFill>
                  <pic:spPr>
                    <a:xfrm>
                      <a:off x="0" y="0"/>
                      <a:ext cx="3060000" cy="2339492"/>
                    </a:xfrm>
                    <a:prstGeom prst="rect"/>
                  </pic:spPr>
                </pic:pic>
              </a:graphicData>
            </a:graphic>
          </wp:inline>
        </w:drawing>
      </w:r>
    </w:p>
    <w:p>
      <w:pPr>
        <w:pStyle w:val="Caption"/>
        <w:jc w:val="center"/>
      </w:pPr>
      <w:r>
        <w:rPr>
          <w:i/>
          <w:sz w:val="14"/>
        </w:rPr>
        <w:t>Figure 7 — Boucle d'entraînement DPO : double passage (politique + référence figée).</w:t>
      </w:r>
    </w:p>
    <w:p>
      <w:pPr>
        <w:jc w:val="center"/>
      </w:pPr>
      <w:r>
        <w:drawing>
          <wp:inline xmlns:a="http://schemas.openxmlformats.org/drawingml/2006/main" xmlns:pic="http://schemas.openxmlformats.org/drawingml/2006/picture">
            <wp:extent cx="3060000" cy="2751407"/>
            <wp:docPr id="8" name="Picture 8"/>
            <wp:cNvGraphicFramePr>
              <a:graphicFrameLocks noChangeAspect="1"/>
            </wp:cNvGraphicFramePr>
            <a:graphic>
              <a:graphicData uri="http://schemas.openxmlformats.org/drawingml/2006/picture">
                <pic:pic>
                  <pic:nvPicPr>
                    <pic:cNvPr id="0" name="entrainer_dpo.png"/>
                    <pic:cNvPicPr/>
                  </pic:nvPicPr>
                  <pic:blipFill>
                    <a:blip r:embed="rId16"/>
                    <a:stretch>
                      <a:fillRect/>
                    </a:stretch>
                  </pic:blipFill>
                  <pic:spPr>
                    <a:xfrm>
                      <a:off x="0" y="0"/>
                      <a:ext cx="3060000" cy="2751407"/>
                    </a:xfrm>
                    <a:prstGeom prst="rect"/>
                  </pic:spPr>
                </pic:pic>
              </a:graphicData>
            </a:graphic>
          </wp:inline>
        </w:drawing>
      </w:r>
    </w:p>
    <w:p>
      <w:pPr>
        <w:pStyle w:val="Caption"/>
        <w:jc w:val="center"/>
      </w:pPr>
      <w:r>
        <w:rPr>
          <w:i/>
          <w:sz w:val="14"/>
        </w:rPr>
        <w:t>Figure 8 — Séquence d'entraînement DPO, du dataset de préférence au checkpoint publié.</w:t>
      </w:r>
    </w:p>
    <w:p>
      <w:pPr>
        <w:pStyle w:val="Heading2"/>
      </w:pPr>
      <w:r>
        <w:t>3.2 Métriques et itérations réelles</w:t>
      </w:r>
    </w:p>
    <w:p>
      <w:r>
        <w:t>La mise au point de β a nécessité plusieurs itérations réelles, chacune diagnostiquée sur des métriques concrètes (rewards/accuracies, rewards/margins) plutôt que sur la seule perte d'entraînement brute :</w:t>
      </w:r>
    </w:p>
    <w:p>
      <w:pPr>
        <w:jc w:val="center"/>
      </w:pPr>
      <w:r>
        <w:rPr>
          <w:i/>
          <w:sz w:val="14"/>
        </w:rPr>
        <w:t>Tableau 3 — Journal des runs DPO (extrait, README §3.2). *Verdict basé sur un seuil de perte hérité du SFT, non recalibré pour DPO ; rewards/accuracies et margins indiquent un apprentissage réel malgré ce verdict.</w:t>
      </w:r>
    </w:p>
    <w:tbl>
      <w:tblPr>
        <w:tblStyle w:val="LightGrid-Accent1"/>
        <w:tblW w:type="auto" w:w="0"/>
        <w:tblLook w:firstColumn="1" w:firstRow="1" w:lastColumn="0" w:lastRow="0" w:noHBand="0" w:noVBand="1" w:val="04A0"/>
      </w:tblPr>
      <w:tblGrid>
        <w:gridCol w:w="1776"/>
        <w:gridCol w:w="1776"/>
        <w:gridCol w:w="1776"/>
        <w:gridCol w:w="1776"/>
        <w:gridCol w:w="1776"/>
        <w:gridCol w:w="1776"/>
      </w:tblGrid>
      <w:tr>
        <w:tc>
          <w:tcPr>
            <w:tcW w:type="dxa" w:w="1776"/>
          </w:tcPr>
          <w:p>
            <w:r>
              <w:rPr>
                <w:b/>
                <w:sz w:val="14"/>
              </w:rPr>
              <w:t>Run</w:t>
            </w:r>
          </w:p>
        </w:tc>
        <w:tc>
          <w:tcPr>
            <w:tcW w:type="dxa" w:w="1776"/>
          </w:tcPr>
          <w:p>
            <w:r>
              <w:rPr>
                <w:b/>
                <w:sz w:val="14"/>
              </w:rPr>
              <w:t>β</w:t>
            </w:r>
          </w:p>
        </w:tc>
        <w:tc>
          <w:tcPr>
            <w:tcW w:type="dxa" w:w="1776"/>
          </w:tcPr>
          <w:p>
            <w:r>
              <w:rPr>
                <w:b/>
                <w:sz w:val="14"/>
              </w:rPr>
              <w:t>Taille</w:t>
            </w:r>
          </w:p>
        </w:tc>
        <w:tc>
          <w:tcPr>
            <w:tcW w:type="dxa" w:w="1776"/>
          </w:tcPr>
          <w:p>
            <w:r>
              <w:rPr>
                <w:b/>
                <w:sz w:val="14"/>
              </w:rPr>
              <w:t>Verdict</w:t>
            </w:r>
          </w:p>
        </w:tc>
        <w:tc>
          <w:tcPr>
            <w:tcW w:type="dxa" w:w="1776"/>
          </w:tcPr>
          <w:p>
            <w:r>
              <w:rPr>
                <w:b/>
                <w:sz w:val="14"/>
              </w:rPr>
              <w:t>rewards/accuracies</w:t>
            </w:r>
          </w:p>
        </w:tc>
        <w:tc>
          <w:tcPr>
            <w:tcW w:type="dxa" w:w="1776"/>
          </w:tcPr>
          <w:p>
            <w:r>
              <w:rPr>
                <w:b/>
                <w:sz w:val="14"/>
              </w:rPr>
              <w:t>rewards/margins</w:t>
            </w:r>
          </w:p>
        </w:tc>
      </w:tr>
      <w:tr>
        <w:tc>
          <w:tcPr>
            <w:tcW w:type="dxa" w:w="1776"/>
          </w:tcPr>
          <w:p>
            <w:r>
              <w:rPr>
                <w:sz w:val="14"/>
              </w:rPr>
              <w:t>1 (batch=1)</w:t>
            </w:r>
          </w:p>
        </w:tc>
        <w:tc>
          <w:tcPr>
            <w:tcW w:type="dxa" w:w="1776"/>
          </w:tcPr>
          <w:p>
            <w:r>
              <w:rPr>
                <w:sz w:val="14"/>
              </w:rPr>
              <w:t>0,1</w:t>
            </w:r>
          </w:p>
        </w:tc>
        <w:tc>
          <w:tcPr>
            <w:tcW w:type="dxa" w:w="1776"/>
          </w:tcPr>
          <w:p>
            <w:r>
              <w:rPr>
                <w:sz w:val="14"/>
              </w:rPr>
              <w:t>100</w:t>
            </w:r>
          </w:p>
        </w:tc>
        <w:tc>
          <w:tcPr>
            <w:tcW w:type="dxa" w:w="1776"/>
          </w:tcPr>
          <w:p>
            <w:r>
              <w:rPr>
                <w:sz w:val="14"/>
              </w:rPr>
              <w:t>sous-apprentissage</w:t>
            </w:r>
          </w:p>
        </w:tc>
        <w:tc>
          <w:tcPr>
            <w:tcW w:type="dxa" w:w="1776"/>
          </w:tcPr>
          <w:p>
            <w:r>
              <w:rPr>
                <w:sz w:val="14"/>
              </w:rPr>
              <w:t>0,30</w:t>
            </w:r>
          </w:p>
        </w:tc>
        <w:tc>
          <w:tcPr>
            <w:tcW w:type="dxa" w:w="1776"/>
          </w:tcPr>
          <w:p>
            <w:r>
              <w:rPr>
                <w:sz w:val="14"/>
              </w:rPr>
              <w:t>-1,25</w:t>
            </w:r>
          </w:p>
        </w:tc>
      </w:tr>
      <w:tr>
        <w:tc>
          <w:tcPr>
            <w:tcW w:type="dxa" w:w="1776"/>
          </w:tcPr>
          <w:p>
            <w:r>
              <w:rPr>
                <w:sz w:val="14"/>
              </w:rPr>
              <w:t>2 (lr relevé)</w:t>
            </w:r>
          </w:p>
        </w:tc>
        <w:tc>
          <w:tcPr>
            <w:tcW w:type="dxa" w:w="1776"/>
          </w:tcPr>
          <w:p>
            <w:r>
              <w:rPr>
                <w:sz w:val="14"/>
              </w:rPr>
              <w:t>0,1</w:t>
            </w:r>
          </w:p>
        </w:tc>
        <w:tc>
          <w:tcPr>
            <w:tcW w:type="dxa" w:w="1776"/>
          </w:tcPr>
          <w:p>
            <w:r>
              <w:rPr>
                <w:sz w:val="14"/>
              </w:rPr>
              <w:t>100</w:t>
            </w:r>
          </w:p>
        </w:tc>
        <w:tc>
          <w:tcPr>
            <w:tcW w:type="dxa" w:w="1776"/>
          </w:tcPr>
          <w:p>
            <w:r>
              <w:rPr>
                <w:sz w:val="14"/>
              </w:rPr>
              <w:t>sous-apprentissage*</w:t>
            </w:r>
          </w:p>
        </w:tc>
        <w:tc>
          <w:tcPr>
            <w:tcW w:type="dxa" w:w="1776"/>
          </w:tcPr>
          <w:p>
            <w:r>
              <w:rPr>
                <w:sz w:val="14"/>
              </w:rPr>
              <w:t>0,625 / 0,75</w:t>
            </w:r>
          </w:p>
        </w:tc>
        <w:tc>
          <w:tcPr>
            <w:tcW w:type="dxa" w:w="1776"/>
          </w:tcPr>
          <w:p>
            <w:r>
              <w:rPr>
                <w:sz w:val="14"/>
              </w:rPr>
              <w:t>+0,72 / +0,60</w:t>
            </w:r>
          </w:p>
        </w:tc>
      </w:tr>
      <w:tr>
        <w:tc>
          <w:tcPr>
            <w:tcW w:type="dxa" w:w="1776"/>
          </w:tcPr>
          <w:p>
            <w:r>
              <w:rPr>
                <w:sz w:val="14"/>
              </w:rPr>
              <w:t>3</w:t>
            </w:r>
          </w:p>
        </w:tc>
        <w:tc>
          <w:tcPr>
            <w:tcW w:type="dxa" w:w="1776"/>
          </w:tcPr>
          <w:p>
            <w:r>
              <w:rPr>
                <w:sz w:val="14"/>
              </w:rPr>
              <w:t>0,1</w:t>
            </w:r>
          </w:p>
        </w:tc>
        <w:tc>
          <w:tcPr>
            <w:tcW w:type="dxa" w:w="1776"/>
          </w:tcPr>
          <w:p>
            <w:r>
              <w:rPr>
                <w:sz w:val="14"/>
              </w:rPr>
              <w:t>5000</w:t>
            </w:r>
          </w:p>
        </w:tc>
        <w:tc>
          <w:tcPr>
            <w:tcW w:type="dxa" w:w="1776"/>
          </w:tcPr>
          <w:p>
            <w:r>
              <w:rPr>
                <w:sz w:val="14"/>
              </w:rPr>
              <w:t>saine</w:t>
            </w:r>
          </w:p>
        </w:tc>
        <w:tc>
          <w:tcPr>
            <w:tcW w:type="dxa" w:w="1776"/>
          </w:tcPr>
          <w:p>
            <w:r>
              <w:rPr>
                <w:sz w:val="14"/>
              </w:rPr>
              <w:t>0,725</w:t>
            </w:r>
          </w:p>
        </w:tc>
        <w:tc>
          <w:tcPr>
            <w:tcW w:type="dxa" w:w="1776"/>
          </w:tcPr>
          <w:p>
            <w:r>
              <w:rPr>
                <w:sz w:val="14"/>
              </w:rPr>
              <w:t>+3,00</w:t>
            </w:r>
          </w:p>
        </w:tc>
      </w:tr>
      <w:tr>
        <w:tc>
          <w:tcPr>
            <w:tcW w:type="dxa" w:w="1776"/>
          </w:tcPr>
          <w:p>
            <w:r>
              <w:rPr>
                <w:sz w:val="14"/>
              </w:rPr>
              <w:t>4</w:t>
            </w:r>
          </w:p>
        </w:tc>
        <w:tc>
          <w:tcPr>
            <w:tcW w:type="dxa" w:w="1776"/>
          </w:tcPr>
          <w:p>
            <w:r>
              <w:rPr>
                <w:sz w:val="14"/>
              </w:rPr>
              <w:t>0,3</w:t>
            </w:r>
          </w:p>
        </w:tc>
        <w:tc>
          <w:tcPr>
            <w:tcW w:type="dxa" w:w="1776"/>
          </w:tcPr>
          <w:p>
            <w:r>
              <w:rPr>
                <w:sz w:val="14"/>
              </w:rPr>
              <w:t>100</w:t>
            </w:r>
          </w:p>
        </w:tc>
        <w:tc>
          <w:tcPr>
            <w:tcW w:type="dxa" w:w="1776"/>
          </w:tcPr>
          <w:p>
            <w:r>
              <w:rPr>
                <w:sz w:val="14"/>
              </w:rPr>
              <w:t>sous-apprentissage*</w:t>
            </w:r>
          </w:p>
        </w:tc>
        <w:tc>
          <w:tcPr>
            <w:tcW w:type="dxa" w:w="1776"/>
          </w:tcPr>
          <w:p>
            <w:r>
              <w:rPr>
                <w:sz w:val="14"/>
              </w:rPr>
              <w:t>0,60</w:t>
            </w:r>
          </w:p>
        </w:tc>
        <w:tc>
          <w:tcPr>
            <w:tcW w:type="dxa" w:w="1776"/>
          </w:tcPr>
          <w:p>
            <w:r>
              <w:rPr>
                <w:sz w:val="14"/>
              </w:rPr>
              <w:t>1,93</w:t>
            </w:r>
          </w:p>
        </w:tc>
      </w:tr>
      <w:tr>
        <w:tc>
          <w:tcPr>
            <w:tcW w:type="dxa" w:w="1776"/>
          </w:tcPr>
          <w:p>
            <w:r>
              <w:rPr>
                <w:sz w:val="14"/>
              </w:rPr>
              <w:t>5 (final)</w:t>
            </w:r>
          </w:p>
        </w:tc>
        <w:tc>
          <w:tcPr>
            <w:tcW w:type="dxa" w:w="1776"/>
          </w:tcPr>
          <w:p>
            <w:r>
              <w:rPr>
                <w:sz w:val="14"/>
              </w:rPr>
              <w:t>0,3</w:t>
            </w:r>
          </w:p>
        </w:tc>
        <w:tc>
          <w:tcPr>
            <w:tcW w:type="dxa" w:w="1776"/>
          </w:tcPr>
          <w:p>
            <w:r>
              <w:rPr>
                <w:sz w:val="14"/>
              </w:rPr>
              <w:t>5000</w:t>
            </w:r>
          </w:p>
        </w:tc>
        <w:tc>
          <w:tcPr>
            <w:tcW w:type="dxa" w:w="1776"/>
          </w:tcPr>
          <w:p>
            <w:r>
              <w:rPr>
                <w:sz w:val="14"/>
              </w:rPr>
              <w:t>saine</w:t>
            </w:r>
          </w:p>
        </w:tc>
        <w:tc>
          <w:tcPr>
            <w:tcW w:type="dxa" w:w="1776"/>
          </w:tcPr>
          <w:p>
            <w:r>
              <w:rPr>
                <w:sz w:val="14"/>
              </w:rPr>
              <w:t>0,75</w:t>
            </w:r>
          </w:p>
        </w:tc>
        <w:tc>
          <w:tcPr>
            <w:tcW w:type="dxa" w:w="1776"/>
          </w:tcPr>
          <w:p>
            <w:r>
              <w:rPr>
                <w:sz w:val="14"/>
              </w:rPr>
              <w:t>4,84</w:t>
            </w:r>
          </w:p>
        </w:tc>
      </w:tr>
    </w:tbl>
    <w:p/>
    <w:p>
      <w:r>
        <w:t>Le run à β=0,1 sur 5000 exemples atteint un rewards/margins anormalement élevé (+3,00) : signe d'un ancrage trop faible à π_ref. L'évaluation post-DPO correspondante révèle une dégénérescence de génération réelle (changements de langue aléatoires FR/EN vers JA/ZH/AR, effondrements en répétitions) non visible dans la perte d'entraînement seule. Relever β à 0,3 corrige ce défaut, confirmé sur les deux échelles (100 puis 5000 exemples, aucune régression).</w:t>
      </w:r>
    </w:p>
    <w:p>
      <w:pPr>
        <w:pStyle w:val="Heading2"/>
      </w:pPr>
      <w:r>
        <w:t>3.3 Évaluation post-DPO</w:t>
      </w:r>
    </w:p>
    <w:p>
      <w:pPr>
        <w:jc w:val="center"/>
      </w:pPr>
      <w:r>
        <w:rPr>
          <w:i/>
          <w:sz w:val="14"/>
        </w:rPr>
        <w:t>Tableau 4 — Évaluation post-DPO (checkpoint mombasstic/chsa-triage-dpo-lora, README §3.3). β=0,3 + repetition_penalty=1,2 ramène le F1 au niveau du post-SFT (0,112), sans régression au passage à l'échelle (100 → 5000 exemples).</w:t>
      </w:r>
    </w:p>
    <w:tbl>
      <w:tblPr>
        <w:tblStyle w:val="LightGrid-Accent1"/>
        <w:tblW w:type="auto" w:w="0"/>
        <w:tblLook w:firstColumn="1" w:firstRow="1" w:lastColumn="0" w:lastRow="0" w:noHBand="0" w:noVBand="1" w:val="04A0"/>
      </w:tblPr>
      <w:tblGrid>
        <w:gridCol w:w="2664"/>
        <w:gridCol w:w="2664"/>
        <w:gridCol w:w="2664"/>
        <w:gridCol w:w="2664"/>
      </w:tblGrid>
      <w:tr>
        <w:tc>
          <w:tcPr>
            <w:tcW w:type="dxa" w:w="2664"/>
          </w:tcPr>
          <w:p>
            <w:r>
              <w:rPr>
                <w:b/>
                <w:sz w:val="14"/>
              </w:rPr>
              <w:t>β (échelle)</w:t>
            </w:r>
          </w:p>
        </w:tc>
        <w:tc>
          <w:tcPr>
            <w:tcW w:type="dxa" w:w="2664"/>
          </w:tcPr>
          <w:p>
            <w:r>
              <w:rPr>
                <w:b/>
                <w:sz w:val="14"/>
              </w:rPr>
              <w:t>repetition_penalty</w:t>
            </w:r>
          </w:p>
        </w:tc>
        <w:tc>
          <w:tcPr>
            <w:tcW w:type="dxa" w:w="2664"/>
          </w:tcPr>
          <w:p>
            <w:r>
              <w:rPr>
                <w:b/>
                <w:sz w:val="14"/>
              </w:rPr>
              <w:t>F1 (token)</w:t>
            </w:r>
          </w:p>
        </w:tc>
        <w:tc>
          <w:tcPr>
            <w:tcW w:type="dxa" w:w="2664"/>
          </w:tcPr>
          <w:p>
            <w:r>
              <w:rPr>
                <w:b/>
                <w:sz w:val="14"/>
              </w:rPr>
              <w:t>Latence</w:t>
            </w:r>
          </w:p>
        </w:tc>
      </w:tr>
      <w:tr>
        <w:tc>
          <w:tcPr>
            <w:tcW w:type="dxa" w:w="2664"/>
          </w:tcPr>
          <w:p>
            <w:r>
              <w:rPr>
                <w:sz w:val="14"/>
              </w:rPr>
              <w:t>0,1</w:t>
            </w:r>
          </w:p>
        </w:tc>
        <w:tc>
          <w:tcPr>
            <w:tcW w:type="dxa" w:w="2664"/>
          </w:tcPr>
          <w:p>
            <w:r>
              <w:rPr>
                <w:sz w:val="14"/>
              </w:rPr>
              <w:t>—</w:t>
            </w:r>
          </w:p>
        </w:tc>
        <w:tc>
          <w:tcPr>
            <w:tcW w:type="dxa" w:w="2664"/>
          </w:tcPr>
          <w:p>
            <w:r>
              <w:rPr>
                <w:sz w:val="14"/>
              </w:rPr>
              <w:t>0,049</w:t>
            </w:r>
          </w:p>
        </w:tc>
        <w:tc>
          <w:tcPr>
            <w:tcW w:type="dxa" w:w="2664"/>
          </w:tcPr>
          <w:p>
            <w:r>
              <w:rPr>
                <w:sz w:val="14"/>
              </w:rPr>
              <w:t>~12,0 s</w:t>
            </w:r>
          </w:p>
        </w:tc>
      </w:tr>
      <w:tr>
        <w:tc>
          <w:tcPr>
            <w:tcW w:type="dxa" w:w="2664"/>
          </w:tcPr>
          <w:p>
            <w:r>
              <w:rPr>
                <w:sz w:val="14"/>
              </w:rPr>
              <w:t>0,1</w:t>
            </w:r>
          </w:p>
        </w:tc>
        <w:tc>
          <w:tcPr>
            <w:tcW w:type="dxa" w:w="2664"/>
          </w:tcPr>
          <w:p>
            <w:r>
              <w:rPr>
                <w:sz w:val="14"/>
              </w:rPr>
              <w:t>1,2</w:t>
            </w:r>
          </w:p>
        </w:tc>
        <w:tc>
          <w:tcPr>
            <w:tcW w:type="dxa" w:w="2664"/>
          </w:tcPr>
          <w:p>
            <w:r>
              <w:rPr>
                <w:sz w:val="14"/>
              </w:rPr>
              <w:t>0,063</w:t>
            </w:r>
          </w:p>
        </w:tc>
        <w:tc>
          <w:tcPr>
            <w:tcW w:type="dxa" w:w="2664"/>
          </w:tcPr>
          <w:p>
            <w:r>
              <w:rPr>
                <w:sz w:val="14"/>
              </w:rPr>
              <w:t>~11,9 s</w:t>
            </w:r>
          </w:p>
        </w:tc>
      </w:tr>
      <w:tr>
        <w:tc>
          <w:tcPr>
            <w:tcW w:type="dxa" w:w="2664"/>
          </w:tcPr>
          <w:p>
            <w:r>
              <w:rPr>
                <w:sz w:val="14"/>
              </w:rPr>
              <w:t>0,3 (100)</w:t>
            </w:r>
          </w:p>
        </w:tc>
        <w:tc>
          <w:tcPr>
            <w:tcW w:type="dxa" w:w="2664"/>
          </w:tcPr>
          <w:p>
            <w:r>
              <w:rPr>
                <w:sz w:val="14"/>
              </w:rPr>
              <w:t>1,2</w:t>
            </w:r>
          </w:p>
        </w:tc>
        <w:tc>
          <w:tcPr>
            <w:tcW w:type="dxa" w:w="2664"/>
          </w:tcPr>
          <w:p>
            <w:r>
              <w:rPr>
                <w:sz w:val="14"/>
              </w:rPr>
              <w:t>0,112</w:t>
            </w:r>
          </w:p>
        </w:tc>
        <w:tc>
          <w:tcPr>
            <w:tcW w:type="dxa" w:w="2664"/>
          </w:tcPr>
          <w:p>
            <w:r>
              <w:rPr>
                <w:sz w:val="14"/>
              </w:rPr>
              <w:t>~10,7 s</w:t>
            </w:r>
          </w:p>
        </w:tc>
      </w:tr>
      <w:tr>
        <w:tc>
          <w:tcPr>
            <w:tcW w:type="dxa" w:w="2664"/>
          </w:tcPr>
          <w:p>
            <w:r>
              <w:rPr>
                <w:sz w:val="14"/>
              </w:rPr>
              <w:t>0,3 (5000, final)</w:t>
            </w:r>
          </w:p>
        </w:tc>
        <w:tc>
          <w:tcPr>
            <w:tcW w:type="dxa" w:w="2664"/>
          </w:tcPr>
          <w:p>
            <w:r>
              <w:rPr>
                <w:sz w:val="14"/>
              </w:rPr>
              <w:t>1,2</w:t>
            </w:r>
          </w:p>
        </w:tc>
        <w:tc>
          <w:tcPr>
            <w:tcW w:type="dxa" w:w="2664"/>
          </w:tcPr>
          <w:p>
            <w:r>
              <w:rPr>
                <w:sz w:val="14"/>
              </w:rPr>
              <w:t>0,110</w:t>
            </w:r>
          </w:p>
        </w:tc>
        <w:tc>
          <w:tcPr>
            <w:tcW w:type="dxa" w:w="2664"/>
          </w:tcPr>
          <w:p>
            <w:r>
              <w:rPr>
                <w:sz w:val="14"/>
              </w:rPr>
              <w:t>~11,2 s</w:t>
            </w:r>
          </w:p>
        </w:tc>
      </w:tr>
    </w:tbl>
    <w:p/>
    <w:p>
      <w:r>
        <w:t>Hyperparamètres finaux retenus : β=0,3, taux d'apprentissage 5·10⁻⁵, taille de lot 4, rang LoRA 16 (recipes/dpo_qwen3_lora.yaml). Le checkpoint DPO n'est jamais fusionné avec la base : il est servi nativement par vLLM comme adaptateur LoRA (§4), ce qui permet de revenir au modèle de base à tout moment sans réentraînement, et de comparer facilement plusieurs versions du garde-fou d'alignement sans dupliquer les 3,2 Go de poids du modèle de base.</w:t>
      </w:r>
    </w:p>
    <w:p>
      <w:pPr>
        <w:pStyle w:val="Heading2"/>
      </w:pPr>
      <w:r>
        <w:t>3.4 Portée de la reformulation des préférences</w:t>
      </w:r>
    </w:p>
    <w:p>
      <w:r>
        <w:t>Les paires de préférence brutes d'UltraMedical-Preference ne portent pas nativement le format de sortie structuré ciblé par ce projet (niveau ESI, catégorie, ressources) : un cas d'usage dédié reformule chaque paire choisie/rejetée dans ce format avant l'entraînement DPO proprement dit. Ce découplage reformulation/DPO — les réponses choisies ne sont pas reformulées, seul le prompt système change — reste une cause probable, distincte de la dégénérescence de fluidité (§3.2), de la perte partielle du format JSON constatée à l'évaluation : la mission ne demande que l'alignement SFT+DPO sur les préférences, le format JSON strict étant un ajout du cahier des charges local visé plutôt au niveau du prompting de l'endpoint déployé (§5, §6.1).</w:t>
      </w:r>
    </w:p>
    <w:p>
      <w:pPr>
        <w:pStyle w:val="Heading1"/>
      </w:pPr>
      <w:r>
        <w:t>4. Déploiement</w:t>
      </w:r>
    </w:p>
    <w:p>
      <w:pPr>
        <w:pStyle w:val="Heading2"/>
      </w:pPr>
      <w:r>
        <w:t>4.1 Architecture retenue</w:t>
      </w:r>
    </w:p>
    <w:p>
      <w:r>
        <w:t>Décision produit prise pendant le déploiement : une architecture à deux pièces plutôt que trois. Un unique Space Hugging Face Docker/GPU héberge, dans le même conteneur, l'API FastAPI et le serveur vLLM (un seul coût GPU, un seul on/off) ; le frontend Streamlit de test tourne en local sur le poste de l'opérateur, car il ne fait qu'appeler l'API en HTTP sans aucun calcul GPU — un Space dédié uniquement pour cette interface aurait exigé un abonnement payant sans bénéfice réel. Le frontend ne sait jamais à l'avance si le modèle est chargé : il sonde en boucle un endpoint de santé applicatif qui répond toujours HTTP 200, y compris pendant les plusieurs minutes de chargement du modèle, avec un corps structuré distinguant explicitement « serveur d'inférence indisponible » d'une véritable erreur — un simple health-check Docker qui redémarrerait le conteneur sur ce délai normal aurait été contre-productif.</w:t>
      </w:r>
    </w:p>
    <w:p>
      <w:pPr>
        <w:jc w:val="center"/>
      </w:pPr>
      <w:r>
        <w:drawing>
          <wp:inline xmlns:a="http://schemas.openxmlformats.org/drawingml/2006/main" xmlns:pic="http://schemas.openxmlformats.org/drawingml/2006/picture">
            <wp:extent cx="3060000" cy="2167820"/>
            <wp:docPr id="9" name="Picture 9"/>
            <wp:cNvGraphicFramePr>
              <a:graphicFrameLocks noChangeAspect="1"/>
            </wp:cNvGraphicFramePr>
            <a:graphic>
              <a:graphicData uri="http://schemas.openxmlformats.org/drawingml/2006/picture">
                <pic:pic>
                  <pic:nvPicPr>
                    <pic:cNvPr id="0" name="deploiement_etape4.png"/>
                    <pic:cNvPicPr/>
                  </pic:nvPicPr>
                  <pic:blipFill>
                    <a:blip r:embed="rId17"/>
                    <a:stretch>
                      <a:fillRect/>
                    </a:stretch>
                  </pic:blipFill>
                  <pic:spPr>
                    <a:xfrm>
                      <a:off x="0" y="0"/>
                      <a:ext cx="3060000" cy="2167820"/>
                    </a:xfrm>
                    <a:prstGeom prst="rect"/>
                  </pic:spPr>
                </pic:pic>
              </a:graphicData>
            </a:graphic>
          </wp:inline>
        </w:drawing>
      </w:r>
    </w:p>
    <w:p>
      <w:pPr>
        <w:pStyle w:val="Caption"/>
        <w:jc w:val="center"/>
      </w:pPr>
      <w:r>
        <w:rPr>
          <w:i/>
          <w:sz w:val="14"/>
        </w:rPr>
        <w:t>Figure 9 — Architecture de déploiement réelle : Space Docker/GPU (API+vLLM), frontend local, journal d'audit persistant.</w:t>
      </w:r>
    </w:p>
    <w:p>
      <w:pPr>
        <w:jc w:val="center"/>
      </w:pPr>
      <w:r>
        <w:drawing>
          <wp:inline xmlns:a="http://schemas.openxmlformats.org/drawingml/2006/main" xmlns:pic="http://schemas.openxmlformats.org/drawingml/2006/picture">
            <wp:extent cx="3060000" cy="2183115"/>
            <wp:docPr id="10" name="Picture 10"/>
            <wp:cNvGraphicFramePr>
              <a:graphicFrameLocks noChangeAspect="1"/>
            </wp:cNvGraphicFramePr>
            <a:graphic>
              <a:graphicData uri="http://schemas.openxmlformats.org/drawingml/2006/picture">
                <pic:pic>
                  <pic:nvPicPr>
                    <pic:cNvPr id="0" name="poursuivre_entretien.png"/>
                    <pic:cNvPicPr/>
                  </pic:nvPicPr>
                  <pic:blipFill>
                    <a:blip r:embed="rId18"/>
                    <a:stretch>
                      <a:fillRect/>
                    </a:stretch>
                  </pic:blipFill>
                  <pic:spPr>
                    <a:xfrm>
                      <a:off x="0" y="0"/>
                      <a:ext cx="3060000" cy="2183115"/>
                    </a:xfrm>
                    <a:prstGeom prst="rect"/>
                  </pic:spPr>
                </pic:pic>
              </a:graphicData>
            </a:graphic>
          </wp:inline>
        </w:drawing>
      </w:r>
    </w:p>
    <w:p>
      <w:pPr>
        <w:pStyle w:val="Caption"/>
        <w:jc w:val="center"/>
      </w:pPr>
      <w:r>
        <w:rPr>
          <w:i/>
          <w:sz w:val="14"/>
        </w:rPr>
        <w:t>Figure 10 — Séquence d'un tour d'entretien : de la requête infirmier à la réponse du modèle, en passant par le journal d'audit.</w:t>
      </w:r>
    </w:p>
    <w:p>
      <w:pPr>
        <w:pStyle w:val="Heading2"/>
      </w:pPr>
      <w:r>
        <w:t>4.2 Incident technique majeur et résolution</w:t>
      </w:r>
    </w:p>
    <w:p>
      <w:r>
        <w:t>Le premier déploiement réel s'est heurté à un segfault natif (crash silencieux du processus, sans message Python exploitable) systématique de vLLM, survenant à chaque fois exactement au même point : juste après le chargement des poids du modèle, pendant le profilage interne que vLLM effectue pour dimensionner son cache de mémoire GPU, sur l'instance GPU réelle (NVIDIA L4). Huit pistes ciblées ont été testées methodiquement en conditions réelles, chacune produisant le même échec identique malgré le changement — la liste complète, dans l'ordre où elles ont été écartées :</w:t>
      </w:r>
    </w:p>
    <w:p>
      <w:pPr>
        <w:jc w:val="center"/>
      </w:pPr>
      <w:r>
        <w:rPr>
          <w:i/>
          <w:sz w:val="14"/>
        </w:rPr>
        <w:t>Tableau 5 — Les huit pistes de diagnostic testées et écartées pour le segfault de démarrage vLLM (issue publique vllm-project/vllm#58616).</w:t>
      </w:r>
    </w:p>
    <w:tbl>
      <w:tblPr>
        <w:tblStyle w:val="LightGrid-Accent1"/>
        <w:tblW w:type="auto" w:w="0"/>
        <w:tblLook w:firstColumn="1" w:firstRow="1" w:lastColumn="0" w:lastRow="0" w:noHBand="0" w:noVBand="1" w:val="04A0"/>
      </w:tblPr>
      <w:tblGrid>
        <w:gridCol w:w="3553"/>
        <w:gridCol w:w="3553"/>
        <w:gridCol w:w="3553"/>
      </w:tblGrid>
      <w:tr>
        <w:tc>
          <w:tcPr>
            <w:tcW w:type="dxa" w:w="3553"/>
          </w:tcPr>
          <w:p>
            <w:r>
              <w:rPr>
                <w:b/>
                <w:sz w:val="14"/>
              </w:rPr>
              <w:t>#</w:t>
            </w:r>
          </w:p>
        </w:tc>
        <w:tc>
          <w:tcPr>
            <w:tcW w:type="dxa" w:w="3553"/>
          </w:tcPr>
          <w:p>
            <w:r>
              <w:rPr>
                <w:b/>
                <w:sz w:val="14"/>
              </w:rPr>
              <w:t>Piste testée</w:t>
            </w:r>
          </w:p>
        </w:tc>
        <w:tc>
          <w:tcPr>
            <w:tcW w:type="dxa" w:w="3553"/>
          </w:tcPr>
          <w:p>
            <w:r>
              <w:rPr>
                <w:b/>
                <w:sz w:val="14"/>
              </w:rPr>
              <w:t>Résultat</w:t>
            </w:r>
          </w:p>
        </w:tc>
      </w:tr>
      <w:tr>
        <w:tc>
          <w:tcPr>
            <w:tcW w:type="dxa" w:w="3553"/>
          </w:tcPr>
          <w:p>
            <w:r>
              <w:rPr>
                <w:sz w:val="14"/>
              </w:rPr>
              <w:t>1</w:t>
            </w:r>
          </w:p>
        </w:tc>
        <w:tc>
          <w:tcPr>
            <w:tcW w:type="dxa" w:w="3553"/>
          </w:tcPr>
          <w:p>
            <w:r>
              <w:rPr>
                <w:sz w:val="14"/>
              </w:rPr>
              <w:t>Désactivation du multiprocessing interne de vLLM (variable d'environnement dédiée)</w:t>
            </w:r>
          </w:p>
        </w:tc>
        <w:tc>
          <w:tcPr>
            <w:tcW w:type="dxa" w:w="3553"/>
          </w:tcPr>
          <w:p>
            <w:r>
              <w:rPr>
                <w:sz w:val="14"/>
              </w:rPr>
              <w:t>Sans effet — cette variable ne s'applique qu'à l'usage programmatique de vLLM, jamais au serveur lancé en ligne de commande</w:t>
            </w:r>
          </w:p>
        </w:tc>
      </w:tr>
      <w:tr>
        <w:tc>
          <w:tcPr>
            <w:tcW w:type="dxa" w:w="3553"/>
          </w:tcPr>
          <w:p>
            <w:r>
              <w:rPr>
                <w:sz w:val="14"/>
              </w:rPr>
              <w:t>2</w:t>
            </w:r>
          </w:p>
        </w:tc>
        <w:tc>
          <w:tcPr>
            <w:tcW w:type="dxa" w:w="3553"/>
          </w:tcPr>
          <w:p>
            <w:r>
              <w:rPr>
                <w:sz w:val="14"/>
              </w:rPr>
              <w:t>Exécution du conteneur sous un utilisateur non root explicite (au lieu de root par défaut)</w:t>
            </w:r>
          </w:p>
        </w:tc>
        <w:tc>
          <w:tcPr>
            <w:tcW w:type="dxa" w:w="3553"/>
          </w:tcPr>
          <w:p>
            <w:r>
              <w:rPr>
                <w:sz w:val="14"/>
              </w:rPr>
              <w:t>Correction légitime conservée, mais sans effet sur le crash</w:t>
            </w:r>
          </w:p>
        </w:tc>
      </w:tr>
      <w:tr>
        <w:tc>
          <w:tcPr>
            <w:tcW w:type="dxa" w:w="3553"/>
          </w:tcPr>
          <w:p>
            <w:r>
              <w:rPr>
                <w:sz w:val="14"/>
              </w:rPr>
              <w:t>3</w:t>
            </w:r>
          </w:p>
        </w:tc>
        <w:tc>
          <w:tcPr>
            <w:tcW w:type="dxa" w:w="3553"/>
          </w:tcPr>
          <w:p>
            <w:r>
              <w:rPr>
                <w:sz w:val="14"/>
              </w:rPr>
              <w:t>Adaptateur LoRA désactivé entièrement</w:t>
            </w:r>
          </w:p>
        </w:tc>
        <w:tc>
          <w:tcPr>
            <w:tcW w:type="dxa" w:w="3553"/>
          </w:tcPr>
          <w:p>
            <w:r>
              <w:rPr>
                <w:sz w:val="14"/>
              </w:rPr>
              <w:t>Même crash identique, sans le module de chargement LoRA en cause</w:t>
            </w:r>
          </w:p>
        </w:tc>
      </w:tr>
      <w:tr>
        <w:tc>
          <w:tcPr>
            <w:tcW w:type="dxa" w:w="3553"/>
          </w:tcPr>
          <w:p>
            <w:r>
              <w:rPr>
                <w:sz w:val="14"/>
              </w:rPr>
              <w:t>4</w:t>
            </w:r>
          </w:p>
        </w:tc>
        <w:tc>
          <w:tcPr>
            <w:tcW w:type="dxa" w:w="3553"/>
          </w:tcPr>
          <w:p>
            <w:r>
              <w:rPr>
                <w:sz w:val="14"/>
              </w:rPr>
              <w:t>Moteur d'attention alternatif (FlashInfer au lieu du moteur par défaut)</w:t>
            </w:r>
          </w:p>
        </w:tc>
        <w:tc>
          <w:tcPr>
            <w:tcW w:type="dxa" w:w="3553"/>
          </w:tcPr>
          <w:p>
            <w:r>
              <w:rPr>
                <w:sz w:val="14"/>
              </w:rPr>
              <w:t>Même crash identique</w:t>
            </w:r>
          </w:p>
        </w:tc>
      </w:tr>
      <w:tr>
        <w:tc>
          <w:tcPr>
            <w:tcW w:type="dxa" w:w="3553"/>
          </w:tcPr>
          <w:p>
            <w:r>
              <w:rPr>
                <w:sz w:val="14"/>
              </w:rPr>
              <w:t>5</w:t>
            </w:r>
          </w:p>
        </w:tc>
        <w:tc>
          <w:tcPr>
            <w:tcW w:type="dxa" w:w="3553"/>
          </w:tcPr>
          <w:p>
            <w:r>
              <w:rPr>
                <w:sz w:val="14"/>
              </w:rPr>
              <w:t>Ordonnancement asynchrone désactivé</w:t>
            </w:r>
          </w:p>
        </w:tc>
        <w:tc>
          <w:tcPr>
            <w:tcW w:type="dxa" w:w="3553"/>
          </w:tcPr>
          <w:p>
            <w:r>
              <w:rPr>
                <w:sz w:val="14"/>
              </w:rPr>
              <w:t>Même crash identique</w:t>
            </w:r>
          </w:p>
        </w:tc>
      </w:tr>
      <w:tr>
        <w:tc>
          <w:tcPr>
            <w:tcW w:type="dxa" w:w="3553"/>
          </w:tcPr>
          <w:p>
            <w:r>
              <w:rPr>
                <w:sz w:val="14"/>
              </w:rPr>
              <w:t>6</w:t>
            </w:r>
          </w:p>
        </w:tc>
        <w:tc>
          <w:tcPr>
            <w:tcW w:type="dxa" w:w="3553"/>
          </w:tcPr>
          <w:p>
            <w:r>
              <w:rPr>
                <w:sz w:val="14"/>
              </w:rPr>
              <w:t>Délai fixe de démarrage avant le lancement de vLLM</w:t>
            </w:r>
          </w:p>
        </w:tc>
        <w:tc>
          <w:tcPr>
            <w:tcW w:type="dxa" w:w="3553"/>
          </w:tcPr>
          <w:p>
            <w:r>
              <w:rPr>
                <w:sz w:val="14"/>
              </w:rPr>
              <w:t>Même crash identique — écarte un GPU/pilote pas encore stabilisé</w:t>
            </w:r>
          </w:p>
        </w:tc>
      </w:tr>
      <w:tr>
        <w:tc>
          <w:tcPr>
            <w:tcW w:type="dxa" w:w="3553"/>
          </w:tcPr>
          <w:p>
            <w:r>
              <w:rPr>
                <w:sz w:val="14"/>
              </w:rPr>
              <w:t>7</w:t>
            </w:r>
          </w:p>
        </w:tc>
        <w:tc>
          <w:tcPr>
            <w:tcW w:type="dxa" w:w="3553"/>
          </w:tcPr>
          <w:p>
            <w:r>
              <w:rPr>
                <w:sz w:val="14"/>
              </w:rPr>
              <w:t>Version de vLLM différente (deux versions testées)</w:t>
            </w:r>
          </w:p>
        </w:tc>
        <w:tc>
          <w:tcPr>
            <w:tcW w:type="dxa" w:w="3553"/>
          </w:tcPr>
          <w:p>
            <w:r>
              <w:rPr>
                <w:sz w:val="14"/>
              </w:rPr>
              <w:t>Même crash identique sur les deux versions</w:t>
            </w:r>
          </w:p>
        </w:tc>
      </w:tr>
      <w:tr>
        <w:tc>
          <w:tcPr>
            <w:tcW w:type="dxa" w:w="3553"/>
          </w:tcPr>
          <w:p>
            <w:r>
              <w:rPr>
                <w:sz w:val="14"/>
              </w:rPr>
              <w:t>8</w:t>
            </w:r>
          </w:p>
        </w:tc>
        <w:tc>
          <w:tcPr>
            <w:tcW w:type="dxa" w:w="3553"/>
          </w:tcPr>
          <w:p>
            <w:r>
              <w:rPr>
                <w:sz w:val="14"/>
              </w:rPr>
              <w:t>Désaccord pilote NVIDIA / version CUDA (vérifié directement via l'outil de diagnostic du pilote)</w:t>
            </w:r>
          </w:p>
        </w:tc>
        <w:tc>
          <w:tcPr>
            <w:tcW w:type="dxa" w:w="3553"/>
          </w:tcPr>
          <w:p>
            <w:r>
              <w:rPr>
                <w:sz w:val="14"/>
              </w:rPr>
              <w:t>Pilote et CUDA confirmés sains, écarté</w:t>
            </w:r>
          </w:p>
        </w:tc>
      </w:tr>
    </w:tbl>
    <w:p/>
    <w:p>
      <w:r>
        <w:t>Un test décisif a permis de caractériser la nature du problème sans le résoudre directement : activer une trace complète de chaque appel de fonction Python (diagnostic officiel de vLLM, qui ralentit l'exécution de plus de 100 fois) a permis, à lui seul, un démarrage complet et sain. Ce ralentissement massif faisant disparaître le crash est la signature caractéristique d'une condition de course dépendante du temps réel d'exécution — un défaut jamais isolé à une seule cause identifiable dans le code du projet ou de vLLM lui-même.</w:t>
      </w:r>
    </w:p>
    <w:p>
      <w:r>
        <w:t>La résolution effective est venue d'un changement de stratégie plutôt que d'un neuvième correctif ciblé : reconstruire l'image du Space à partir de l'image Docker officielle vllm/vllm-openai (construite et testée par l'équipe vLLM elle-même, avec son propre environnement Python cohérent) plutôt que d'installer vLLM manuellement dans une image CUDA générique. Le problème a disparu entièrement, sans qu'une cause racine précise n'ait pu être établie côté vLLM. Cet incident, sa reproduction complète et sa résolution ont été signalés en amont au projet vLLM (issue publique vllm-project/vllm#58616) pour bénéficier à d'autres équipes confrontées au même symptôme.</w:t>
      </w:r>
    </w:p>
    <w:p>
      <w:r>
        <w:t>Deux bugs applicatifs supplémentaires ont ensuite été trouvés et corrigés lors de la toute première conversation réelle contre ce vLLM enfin fonctionnel — un rappel concret que la disponibilité du serveur d'inférence n'implique pas à elle seule la correction du comportement applicatif :</w:t>
      </w:r>
    </w:p>
    <w:p>
      <w:r>
        <w:t>(1) Le paramètre de nombre maximal de tokens générés utilisait en interne le vocabulaire du moteur local llama.cpp (`n_predict`), jamais traduit vers le nom réellement attendu par l'API compatible OpenAI de vLLM (`max_tokens`) — un adaptateur voisin du projet effectuait déjà cette traduction pour un troisième moteur, mais elle avait été omise pour l'adaptateur vLLM, resté non testé en conditions réelles jusqu'à la résolution du segfault. Le champ inconnu était ignoré silencieusement par vLLM, laissant la génération partir jusqu'à la limite par défaut du modèle (2048 tokens) sans aucune limite de tour de conversation.</w:t>
      </w:r>
    </w:p>
    <w:p>
      <w:r>
        <w:t>(2) Aucune température de génération n'était fixée explicitement dans les cas d'usage d'entretien et de diagnostic, laissant vLLM retomber sur un échantillonnage aléatoire non validé — alors que l'évaluation post-DPO qui avait validé la pénalité de répétition (§3.3) utilisait systématiquement une génération déterministe. Sans température explicite, le symptôme observé (réponses incohérentes, mélange spontané de langues au sein d'une même réponse) s'est reproduit à l'identique sur deux générations de GPU différentes (L4 en bfloat16, T4 en float16 par repli automatique), ce qui a permis d'écarter une cause matérielle avant de trouver la cause réelle. Les deux corrections ont rétabli des réponses cohérentes en conditions réelles, vérifiées par une conversation complète de bout en bout.</w:t>
      </w:r>
    </w:p>
    <w:p>
      <w:pPr>
        <w:pStyle w:val="Heading2"/>
      </w:pPr>
      <w:r>
        <w:t>4.3 CI/CD et endpoint réel</w:t>
      </w:r>
    </w:p>
    <w:p>
      <w:r>
        <w:t>Le pipeline GitHub Actions (imposé au cahier des charges) comprend deux jobs : l'exécution de la suite de tests automatisés (448 tests, 0 échec, aucune dépendance GPU) et la vérification que l'image Docker de l'API se construit correctement, à chaque push sur la branche principale. L'endpoint réel (mombasstic/chsa-triage-api) répond de façon opérationnelle : chargement du modèle et de l'adaptateur LoRA DPO, healthcheck applicatif ne renvoyant jamais d'erreur brute, latence de réponse observée de l'ordre de 5 à 30 secondes par tour d'entretien selon le matériel GPU alloué (L4 ou T4, en fonction de la disponibilité côté fournisseur) — cette latence n'a pas encore fait l'objet d'une mesure statistique systématique sur un échantillon représentatif (recommandation §6.1).</w:t>
      </w:r>
    </w:p>
    <w:p>
      <w:pPr>
        <w:jc w:val="center"/>
      </w:pPr>
      <w:r>
        <w:drawing>
          <wp:inline xmlns:a="http://schemas.openxmlformats.org/drawingml/2006/main" xmlns:pic="http://schemas.openxmlformats.org/drawingml/2006/picture">
            <wp:extent cx="3060000" cy="3504469"/>
            <wp:docPr id="11" name="Picture 11"/>
            <wp:cNvGraphicFramePr>
              <a:graphicFrameLocks noChangeAspect="1"/>
            </wp:cNvGraphicFramePr>
            <a:graphic>
              <a:graphicData uri="http://schemas.openxmlformats.org/drawingml/2006/picture">
                <pic:pic>
                  <pic:nvPicPr>
                    <pic:cNvPr id="0" name="pipeline_ci_cd.png"/>
                    <pic:cNvPicPr/>
                  </pic:nvPicPr>
                  <pic:blipFill>
                    <a:blip r:embed="rId19"/>
                    <a:stretch>
                      <a:fillRect/>
                    </a:stretch>
                  </pic:blipFill>
                  <pic:spPr>
                    <a:xfrm>
                      <a:off x="0" y="0"/>
                      <a:ext cx="3060000" cy="3504469"/>
                    </a:xfrm>
                    <a:prstGeom prst="rect"/>
                  </pic:spPr>
                </pic:pic>
              </a:graphicData>
            </a:graphic>
          </wp:inline>
        </w:drawing>
      </w:r>
    </w:p>
    <w:p>
      <w:pPr>
        <w:pStyle w:val="Caption"/>
        <w:jc w:val="center"/>
      </w:pPr>
      <w:r>
        <w:rPr>
          <w:i/>
          <w:sz w:val="14"/>
        </w:rPr>
        <w:t>Figure 11 — Pipeline CI/CD : tests automatisés + vérification du build Docker.</w:t>
      </w:r>
    </w:p>
    <w:p>
      <w:pPr>
        <w:pStyle w:val="Heading2"/>
      </w:pPr>
      <w:r>
        <w:t>4.4 Traçabilité et sécurité applicative</w:t>
      </w:r>
    </w:p>
    <w:p>
      <w:r>
        <w:t>Chaque tour d'entretien et chaque demande de diagnostic est consigné dans un journal d'audit horodaté (conversation, entrée, sortie, version du modèle), garde-fou de traçabilité imposé au projet — persisté gratuitement dans un dataset privé Hugging Face via un mécanisme de publication périodique en arrière-plan, déjà utilisé ailleurs dans le projet pour le suivi d'expérimentation d'entraînement. Ce choix évite un abonnement de stockage persistant payant tout en garantissant que le journal survit aux redémarrages du conteneur, contrairement à une simple écriture sur le disque éphémère du Space, qui aurait perdu tout l'historique à chaque reconstruction de l'image (redémarrages nombreux pendant l'incident décrit en §4.2).</w:t>
      </w:r>
    </w:p>
    <w:p>
      <w:pPr>
        <w:jc w:val="center"/>
      </w:pPr>
      <w:r>
        <w:drawing>
          <wp:inline xmlns:a="http://schemas.openxmlformats.org/drawingml/2006/main" xmlns:pic="http://schemas.openxmlformats.org/drawingml/2006/picture">
            <wp:extent cx="3060000" cy="2162071"/>
            <wp:docPr id="12" name="Picture 12"/>
            <wp:cNvGraphicFramePr>
              <a:graphicFrameLocks noChangeAspect="1"/>
            </wp:cNvGraphicFramePr>
            <a:graphic>
              <a:graphicData uri="http://schemas.openxmlformats.org/drawingml/2006/picture">
                <pic:pic>
                  <pic:nvPicPr>
                    <pic:cNvPr id="0" name="obtenir_diagnostic.png"/>
                    <pic:cNvPicPr/>
                  </pic:nvPicPr>
                  <pic:blipFill>
                    <a:blip r:embed="rId20"/>
                    <a:stretch>
                      <a:fillRect/>
                    </a:stretch>
                  </pic:blipFill>
                  <pic:spPr>
                    <a:xfrm>
                      <a:off x="0" y="0"/>
                      <a:ext cx="3060000" cy="2162071"/>
                    </a:xfrm>
                    <a:prstGeom prst="rect"/>
                  </pic:spPr>
                </pic:pic>
              </a:graphicData>
            </a:graphic>
          </wp:inline>
        </w:drawing>
      </w:r>
    </w:p>
    <w:p>
      <w:pPr>
        <w:pStyle w:val="Caption"/>
        <w:jc w:val="center"/>
      </w:pPr>
      <w:r>
        <w:rPr>
          <w:i/>
          <w:sz w:val="14"/>
        </w:rPr>
        <w:t>Figure 12 — Séquence de demande de diagnostic : de l'historique d'entretien à la classification ESI proposée.</w:t>
      </w:r>
    </w:p>
    <w:p>
      <w:r>
        <w:t>L'accès à l'API est protégé par une clé (en-tête `X-API-Key`), vérifiée par une dépendance FastAPI sur chaque route sensible, distincte du jeton d'accès Hugging Face lui-même utilisé pour les opérations internes (téléchargement de modèle, publication du journal d'audit). Le stockage du jeton Hugging Face a lui-même donné lieu à un incident réel pendant ce déploiement (formulaire web du Space rejetant un caractère du jeton, contournable en le déposant directement via l'API programmatique plutôt que le formulaire), documenté en détail dans le README du projet.</w:t>
      </w:r>
    </w:p>
    <w:p>
      <w:pPr>
        <w:pStyle w:val="Heading1"/>
      </w:pPr>
      <w:r>
        <w:t>5. Sécurité, conformité et vie privée</w:t>
      </w:r>
    </w:p>
    <w:p>
      <w:r>
        <w:t>Le projet distingue explicitement deux notions homonymes qui portent toutes deux le sigle « NF4 » dans la documentation du projet, à ne pas confondre : le format de quantification `nf4` (NormalFloat 4-bit, §2.1, un détail d'implémentation de l'entraînement, déjà en place) et le garde-fou de sécurité clinique NF4 du cahier des charges (un juge automatique censé rejeter toute réponse dont le score de sécurité serait inférieur à 4 sur 7, non encore conçu ni implémenté — voir statut réel en §6).</w:t>
      </w:r>
    </w:p>
    <w:p>
      <w:r>
        <w:t>La protection des données personnelles s'appuie sur trois mécanismes complémentaires, à des étapes différentes du cycle de vie de la donnée : l'anonymisation Presidio en amont de tout entraînement (§1.2, retire les identifiants directs avant publication) ; le contrôle d'accès applicatif par clé d'API sur l'endpoint déployé (§4.4) ; et le journal d'audit, qui ne consigne que les échanges cliniques de l'entretien (jamais d'identité de patient, celle-ci restant hors du périmètre technique de l'agent, dont le rôle se limite à l'entretien symptomatique).</w:t>
      </w:r>
    </w:p>
    <w:p>
      <w:r>
        <w:t>Le magasin de conversations actif (état d'une conversation en cours) est délibérément gardé hors de l'architecture hexagonale ports/adaptateurs : c'est un état de session éphémère du processus, en mémoire, jamais persisté ni consigné dans le journal d'audit lui-même — seuls les tours d'entretien et les diagnostics le sont. Cette conception a une conséquence directe pour le passage à l'échelle, discutée en §6.3 : elle est incompatible avec plusieurs instances de l'API sans état partagé externe.</w:t>
      </w:r>
    </w:p>
    <w:p>
      <w:pPr>
        <w:pStyle w:val="Heading1"/>
      </w:pPr>
      <w:r>
        <w:t>6. Analyse des résultats</w:t>
      </w:r>
    </w:p>
    <w:p>
      <w:r>
        <w:t>Statut réel de chaque critère d'acceptation du POC (cahier des charges §9), à date :</w:t>
      </w:r>
    </w:p>
    <w:p>
      <w:pPr>
        <w:jc w:val="center"/>
      </w:pPr>
      <w:r>
        <w:rPr>
          <w:i/>
          <w:sz w:val="14"/>
        </w:rPr>
        <w:t>Tableau 6 — Statut réel des critères d'acceptation du POC (cahier des charges §9).</w:t>
      </w:r>
    </w:p>
    <w:tbl>
      <w:tblPr>
        <w:tblStyle w:val="LightGrid-Accent1"/>
        <w:tblW w:type="auto" w:w="0"/>
        <w:tblLook w:firstColumn="1" w:firstRow="1" w:lastColumn="0" w:lastRow="0" w:noHBand="0" w:noVBand="1" w:val="04A0"/>
      </w:tblPr>
      <w:tblGrid>
        <w:gridCol w:w="5329"/>
        <w:gridCol w:w="5329"/>
      </w:tblGrid>
      <w:tr>
        <w:tc>
          <w:tcPr>
            <w:tcW w:type="dxa" w:w="5329"/>
          </w:tcPr>
          <w:p>
            <w:r>
              <w:rPr>
                <w:b/>
                <w:sz w:val="14"/>
              </w:rPr>
              <w:t>Critère</w:t>
            </w:r>
          </w:p>
        </w:tc>
        <w:tc>
          <w:tcPr>
            <w:tcW w:type="dxa" w:w="5329"/>
          </w:tcPr>
          <w:p>
            <w:r>
              <w:rPr>
                <w:b/>
                <w:sz w:val="14"/>
              </w:rPr>
              <w:t>Statut</w:t>
            </w:r>
          </w:p>
        </w:tc>
      </w:tr>
      <w:tr>
        <w:tc>
          <w:tcPr>
            <w:tcW w:type="dxa" w:w="5329"/>
          </w:tcPr>
          <w:p>
            <w:r>
              <w:rPr>
                <w:sz w:val="14"/>
              </w:rPr>
              <w:t>Endpoint vLLM opérationnel, latence documentée</w:t>
            </w:r>
          </w:p>
        </w:tc>
        <w:tc>
          <w:tcPr>
            <w:tcW w:type="dxa" w:w="5329"/>
          </w:tcPr>
          <w:p>
            <w:r>
              <w:rPr>
                <w:sz w:val="14"/>
              </w:rPr>
              <w:t>Atteint (§4.3)</w:t>
            </w:r>
          </w:p>
        </w:tc>
      </w:tr>
      <w:tr>
        <w:tc>
          <w:tcPr>
            <w:tcW w:type="dxa" w:w="5329"/>
          </w:tcPr>
          <w:p>
            <w:r>
              <w:rPr>
                <w:sz w:val="14"/>
              </w:rPr>
              <w:t>Pipeline CI/CD exécute les tests à chaque push</w:t>
            </w:r>
          </w:p>
        </w:tc>
        <w:tc>
          <w:tcPr>
            <w:tcW w:type="dxa" w:w="5329"/>
          </w:tcPr>
          <w:p>
            <w:r>
              <w:rPr>
                <w:sz w:val="14"/>
              </w:rPr>
              <w:t>Atteint (448 tests, 0 échec)</w:t>
            </w:r>
          </w:p>
        </w:tc>
      </w:tr>
      <w:tr>
        <w:tc>
          <w:tcPr>
            <w:tcW w:type="dxa" w:w="5329"/>
          </w:tcPr>
          <w:p>
            <w:r>
              <w:rPr>
                <w:sz w:val="14"/>
              </w:rPr>
              <w:t>JSON de diagnostic valide sur ≥95% des requêtes</w:t>
            </w:r>
          </w:p>
        </w:tc>
        <w:tc>
          <w:tcPr>
            <w:tcW w:type="dxa" w:w="5329"/>
          </w:tcPr>
          <w:p>
            <w:r>
              <w:rPr>
                <w:sz w:val="14"/>
              </w:rPr>
              <w:t>Non atteint — format non toujours respecté en sortie réelle de vLLM (voir §7)</w:t>
            </w:r>
          </w:p>
        </w:tc>
      </w:tr>
      <w:tr>
        <w:tc>
          <w:tcPr>
            <w:tcW w:type="dxa" w:w="5329"/>
          </w:tcPr>
          <w:p>
            <w:r>
              <w:rPr>
                <w:sz w:val="14"/>
              </w:rPr>
              <w:t>Accuracy ESI &gt; baseline zéro-shot, mesurable</w:t>
            </w:r>
          </w:p>
        </w:tc>
        <w:tc>
          <w:tcPr>
            <w:tcW w:type="dxa" w:w="5329"/>
          </w:tcPr>
          <w:p>
            <w:r>
              <w:rPr>
                <w:sz w:val="14"/>
              </w:rPr>
              <w:t>Non mesurable tant que le format JSON n'est pas fiable</w:t>
            </w:r>
          </w:p>
        </w:tc>
      </w:tr>
      <w:tr>
        <w:tc>
          <w:tcPr>
            <w:tcW w:type="dxa" w:w="5329"/>
          </w:tcPr>
          <w:p>
            <w:r>
              <w:rPr>
                <w:sz w:val="14"/>
              </w:rPr>
              <w:t>Aucune réponse &lt; 4/7 en sécurité (garde-fou NF4)</w:t>
            </w:r>
          </w:p>
        </w:tc>
        <w:tc>
          <w:tcPr>
            <w:tcW w:type="dxa" w:w="5329"/>
          </w:tcPr>
          <w:p>
            <w:r>
              <w:rPr>
                <w:sz w:val="14"/>
              </w:rPr>
              <w:t>Non implémenté — juge de sécurité clinique non encore conçu</w:t>
            </w:r>
          </w:p>
        </w:tc>
      </w:tr>
    </w:tbl>
    <w:p/>
    <w:p>
      <w:r>
        <w:t>Le F1 (0,110–0,112) reste modeste en valeur absolue, mais l'analyse comparative (Tableau 2) montre que la variable décisive n'était pas la seule qualité de l'alignement DPO : un paramétrage d'inférence incomplet (§4.2) suffisait à lui seul à produire des réponses inexploitables, indépendamment de la qualité réelle du modèle. Ce constat — qu'un modèle correctement aligné peut sembler défaillant à cause d'un maillon d'infrastructure non validé — est probablement le résultat méthodologique le plus transférable de ce POC pour la suite du projet : évaluer un modèle uniquement hors ligne, sans jamais l'exercer contre le serveur d'inférence réellement visé pour la production, laisse une classe entière de défauts invisible jusqu'au déploiement.</w:t>
      </w:r>
    </w:p>
    <w:p>
      <w:r>
        <w:t>Sur le plan de l'ingénierie du projet, deux disciplines se sont révélées particulièrement rentables pendant cette mission : ne jamais accepter une affirmation sans preuve directement vérifiable (logs réels, code source lu plutôt que supposé, tests exécutés plutôt qu'estimés), et traiter chaque correctif de déploiement comme une hypothèse à valider explicitement plutôt qu'une certitude — la moitié des huit pistes du Tableau 5, par exemple, semblaient plausibles a priori et ont dû être écartées une à une par des tests réels, pas par intuition.</w:t>
      </w:r>
    </w:p>
    <w:p>
      <w:pPr>
        <w:pStyle w:val="Heading1"/>
      </w:pPr>
      <w:r>
        <w:t>7. Roadmap et recommandations pour le passage à l'échelle</w:t>
      </w:r>
    </w:p>
    <w:p>
      <w:r>
        <w:t>Les recommandations suivantes sont organisées par horizon, et découlent directement des écarts réels constatés pendant cette mission (§6) plutôt que de bonnes pratiques génériques de mise en production de LLM.</w:t>
      </w:r>
    </w:p>
    <w:p>
      <w:pPr>
        <w:pStyle w:val="Heading2"/>
      </w:pPr>
      <w:r>
        <w:t>7.1 Court terme (avant toute extension de périmètre)</w:t>
      </w:r>
    </w:p>
    <w:p>
      <w:r>
        <w:t>Contraindre la sortie du diagnostic à un schéma JSON strict au niveau du serveur d'inférence (grammaire de génération contrainte, disponible nativement côté vLLM et déjà exposée par sa configuration de sorties structurées) plutôt que par le seul prompt — c'est l'écart le plus bloquant identifié (§6) et le plus directement actionnable : il conditionne à la fois le critère d'acceptation JSON et la mesure d'accuracy ESI, aujourd'hui non mesurable pour cette seule raison.</w:t>
      </w:r>
    </w:p>
    <w:p>
      <w:r>
        <w:t>Concevoir et implémenter le juge de sécurité clinique (garde-fou NF4), aujourd'hui explicitement en attente d'une décision produit : quel modèle ou quelle règle sert de juge, sur quel échantillon il est validé lui-même, et comment son propre taux d'erreur est mesuré avant d'en faire un filtre de sécurité sur lequel s'appuyer.</w:t>
      </w:r>
    </w:p>
    <w:p>
      <w:r>
        <w:t>Mesurer la latence de façon statistique (percentiles p50/p95 sur un échantillon représentatif de conversations réelles, par type de matériel GPU alloué), pas seulement de façon ponctuelle comme actuellement — le journal d'audit déjà persisté (§4.4) porte l'horodatage nécessaire pour cette mesure sans instrumentation supplémentaire.</w:t>
      </w:r>
    </w:p>
    <w:p>
      <w:pPr>
        <w:pStyle w:val="Heading2"/>
      </w:pPr>
      <w:r>
        <w:t>7.2 Moyen terme (fiabilisation avant extension d'usage)</w:t>
      </w:r>
    </w:p>
    <w:p>
      <w:r>
        <w:t>Ajouter une supervision applicative minimale : alertes sur les réponses hors format JSON ou en échec, tableau de bord de latence réelle construit directement à partir du journal d'audit déjà persisté (aucune nouvelle télémétrie à mettre en place, seulement à exploiter ce qui existe déjà). Étendre le jeu de test clinique (278 exemples aujourd'hui) au-delà du périmètre actuel pour fiabiliser statistiquement la mesure d'accuracy ESI une fois le format JSON corrigé.</w:t>
      </w:r>
    </w:p>
    <w:p>
      <w:r>
        <w:t>Documenter et tester une procédure de restauration du service en cas d'indisponibilité prolongée de l'infrastructure GPU sous-jacente — un point de fragilité concret rencontré à plusieurs reprises pendant ce déploiement (échecs d'initialisation de conteneur imputables à la plateforme d'hébergement elle-même, résolus par un changement de configuration matérielle plutôt que par une action côté projet), donc indépendant du code du projet mais bien réel en exploitation.</w:t>
      </w:r>
    </w:p>
    <w:p>
      <w:r>
        <w:t>Ajouter une interface de reprise explicite (« nouveau patient ») dans le frontend de test, déjà identifiée et corrigée pendant ce projet — sans elle, un opérateur poursuivant la saisie après un diagnostic mélangeait silencieusement le patient suivant avec l'historique du précédent, un risque d'erreur clinique par confusion d'identité d'entretien qui mérite une vigilance équivalente dans toute interface future.</w:t>
      </w:r>
    </w:p>
    <w:p>
      <w:pPr>
        <w:pStyle w:val="Heading2"/>
      </w:pPr>
      <w:r>
        <w:t>7.3 Long terme (déploiement à l'échelle du CHSA)</w:t>
      </w:r>
    </w:p>
    <w:p>
      <w:r>
        <w:t>Avant toute mise en production clinique réelle : validation médicale formelle des diagnostics proposés par un comité clinique du CHSA sur un échantillon représentatif, étude d'impact réglementaire (le logiciel relève potentiellement du cadre des dispositifs médicaux logiciels selon l'usage final retenu), et mécanisme de retour d'expérience structuré depuis le terrain vers une boucle de réentraînement périodique du modèle plutôt qu'un modèle figé une fois pour toutes.</w:t>
      </w:r>
    </w:p>
    <w:p>
      <w:r>
        <w:t>Sur le plan technique, prévoir une architecture à plusieurs instances de l'API avant toute charge réelle : le magasin de conversations actuel est volontairement en mémoire (§5), donc incompatible avec plusieurs instances sans état partagé externe (base de données ou cache partagé). Dimensionner le budget GPU sur la charge réelle observée en usage clinique plutôt que sur l'usage ponctuel de ce POC — le choix du matériel (L4 ou équivalent) devra être revalidé une fois un volume de requêtes concurrentes réaliste connu, et non plus supposé.</w:t>
      </w:r>
    </w:p>
    <w:p>
      <w:r>
        <w:t>Enfin, conserver la discipline de traçabilité déjà en place (garde-fou F6) comme fondation de toute extension future plutôt que comme une case à cocher : c'est ce même journal d'audit qui permettra, à l'échelle, de mesurer objectivement l'impact clinique réel de l'agent plutôt que ses seules métriques d'entraînement hors ligne.</w:t>
      </w:r>
    </w:p>
    <w:p>
      <w:pPr>
        <w:pStyle w:val="Heading1"/>
      </w:pPr>
      <w:r>
        <w:t>Conclusion</w:t>
      </w:r>
    </w:p>
    <w:p>
      <w:r>
        <w:t>Ce POC démontre la faisabilité technique d'un agent de triage médical spécialisé par SFT+DPO et servi par un endpoint vLLM réel, avec une architecture hexagonale qui a concrètement facilité le développement et le déploiement (bascule entre trois moteurs d'inférence — local, distant, double de test — sans changement du domaine métier). Chaque étape du pipeline (données, SFT, DPO, déploiement) a produit des artefacts réels et vérifiables : jeux de données publiés et versionnés, checkpoints LoRA hébergés sur le Hub, endpoint opérationnel avec pipeline CI/CD vert, journal d'audit persistant.</w:t>
      </w:r>
    </w:p>
    <w:p>
      <w:r>
        <w:t>Le principal apprentissage de la phase de déploiement est que la validation d'un modèle aligné ne peut pas se limiter à son évaluation hors ligne : deux défauts d'intégration invisibles en évaluation (traduction de paramètres vers le vocabulaire réel du serveur d'inférence, température de génération jamais fixée explicitement) ont suffi à masquer un alignement DPO par ailleurs correctement validé et mesuré. Un incident d'infrastructure majeur (segfault systématique de vLLM, huit hypothèses testées et écartées avant résolution) a par ailleurs occupé une part significative du temps de déploiement — un rappel que l'intégration d'un composant d'inférence tiers récent, même imposé par le cahier des charges pour de bonnes raisons de performance, reste un risque projet à budgéter explicitement, pas un détail d'exécution.</w:t>
      </w:r>
    </w:p>
    <w:p>
      <w:r>
        <w:t>Les prochaines étapes (§7) sont concrètes, priorisées, et directement issues des écarts réels constatés pendant cette mission plutôt que de recommandations génériques : contraindre le format de sortie, concevoir le garde-fou de sécurité clinique encore manquant, et mesurer statistiquement ce qui n'a pour l'instant été observé que ponctuellement. Le POC pose une base technique solide ; le chemin vers un déploiement clinique réel au CHSA reste conditionné à une validation médicale et réglementaire qui dépasse le périmètre de ce rapport.</w:t>
      </w:r>
    </w:p>
    <w:p>
      <w:pPr>
        <w:pStyle w:val="Heading1"/>
      </w:pPr>
      <w:r>
        <w:t>Glossaire</w:t>
      </w:r>
    </w:p>
    <w:p>
      <w:pPr>
        <w:jc w:val="center"/>
      </w:pPr>
      <w:r>
        <w:rPr>
          <w:i/>
          <w:sz w:val="14"/>
        </w:rPr>
        <w:t>Tableau 7 — Glossaire des sigles et termes techniques utilisés dans ce rapport.</w:t>
      </w:r>
    </w:p>
    <w:tbl>
      <w:tblPr>
        <w:tblStyle w:val="LightGrid-Accent1"/>
        <w:tblW w:type="auto" w:w="0"/>
        <w:tblLook w:firstColumn="1" w:firstRow="1" w:lastColumn="0" w:lastRow="0" w:noHBand="0" w:noVBand="1" w:val="04A0"/>
      </w:tblPr>
      <w:tblGrid>
        <w:gridCol w:w="5329"/>
        <w:gridCol w:w="5329"/>
      </w:tblGrid>
      <w:tr>
        <w:tc>
          <w:tcPr>
            <w:tcW w:type="dxa" w:w="5329"/>
          </w:tcPr>
          <w:p>
            <w:r>
              <w:rPr>
                <w:b/>
                <w:sz w:val="14"/>
              </w:rPr>
              <w:t>Terme</w:t>
            </w:r>
          </w:p>
        </w:tc>
        <w:tc>
          <w:tcPr>
            <w:tcW w:type="dxa" w:w="5329"/>
          </w:tcPr>
          <w:p>
            <w:r>
              <w:rPr>
                <w:b/>
                <w:sz w:val="14"/>
              </w:rPr>
              <w:t>Définition</w:t>
            </w:r>
          </w:p>
        </w:tc>
      </w:tr>
      <w:tr>
        <w:tc>
          <w:tcPr>
            <w:tcW w:type="dxa" w:w="5329"/>
          </w:tcPr>
          <w:p>
            <w:r>
              <w:rPr>
                <w:sz w:val="14"/>
              </w:rPr>
              <w:t>DPO</w:t>
            </w:r>
          </w:p>
        </w:tc>
        <w:tc>
          <w:tcPr>
            <w:tcW w:type="dxa" w:w="5329"/>
          </w:tcPr>
          <w:p>
            <w:r>
              <w:rPr>
                <w:sz w:val="14"/>
              </w:rPr>
              <w:t>Direct Preference Optimization — alignement à partir de paires (réponse préférée, réponse rejetée).</w:t>
            </w:r>
          </w:p>
        </w:tc>
      </w:tr>
      <w:tr>
        <w:tc>
          <w:tcPr>
            <w:tcW w:type="dxa" w:w="5329"/>
          </w:tcPr>
          <w:p>
            <w:r>
              <w:rPr>
                <w:sz w:val="14"/>
              </w:rPr>
              <w:t>ESI</w:t>
            </w:r>
          </w:p>
        </w:tc>
        <w:tc>
          <w:tcPr>
            <w:tcW w:type="dxa" w:w="5329"/>
          </w:tcPr>
          <w:p>
            <w:r>
              <w:rPr>
                <w:sz w:val="14"/>
              </w:rPr>
              <w:t>Emergency Severity Index — échelle de triage aux urgences, niveaux 1 (critique) à 5 (non urgent).</w:t>
            </w:r>
          </w:p>
        </w:tc>
      </w:tr>
      <w:tr>
        <w:tc>
          <w:tcPr>
            <w:tcW w:type="dxa" w:w="5329"/>
          </w:tcPr>
          <w:p>
            <w:r>
              <w:rPr>
                <w:sz w:val="14"/>
              </w:rPr>
              <w:t>LoRA</w:t>
            </w:r>
          </w:p>
        </w:tc>
        <w:tc>
          <w:tcPr>
            <w:tcW w:type="dxa" w:w="5329"/>
          </w:tcPr>
          <w:p>
            <w:r>
              <w:rPr>
                <w:sz w:val="14"/>
              </w:rPr>
              <w:t>Low-Rank Adaptation — fine-tuning par matrices de rang réduit, modèle de base gelé.</w:t>
            </w:r>
          </w:p>
        </w:tc>
      </w:tr>
      <w:tr>
        <w:tc>
          <w:tcPr>
            <w:tcW w:type="dxa" w:w="5329"/>
          </w:tcPr>
          <w:p>
            <w:r>
              <w:rPr>
                <w:sz w:val="14"/>
              </w:rPr>
              <w:t>NF4 (quantification)</w:t>
            </w:r>
          </w:p>
        </w:tc>
        <w:tc>
          <w:tcPr>
            <w:tcW w:type="dxa" w:w="5329"/>
          </w:tcPr>
          <w:p>
            <w:r>
              <w:rPr>
                <w:sz w:val="14"/>
              </w:rPr>
              <w:t>NormalFloat 4-bit — format de quantification des poids, distinct du garde-fou de sécurité clinique homonyme.</w:t>
            </w:r>
          </w:p>
        </w:tc>
      </w:tr>
      <w:tr>
        <w:tc>
          <w:tcPr>
            <w:tcW w:type="dxa" w:w="5329"/>
          </w:tcPr>
          <w:p>
            <w:r>
              <w:rPr>
                <w:sz w:val="14"/>
              </w:rPr>
              <w:t>PagedAttention</w:t>
            </w:r>
          </w:p>
        </w:tc>
        <w:tc>
          <w:tcPr>
            <w:tcW w:type="dxa" w:w="5329"/>
          </w:tcPr>
          <w:p>
            <w:r>
              <w:rPr>
                <w:sz w:val="14"/>
              </w:rPr>
              <w:t>Gestion par pages du cache d'attention GPU dans vLLM, comme une mémoire virtuelle.</w:t>
            </w:r>
          </w:p>
        </w:tc>
      </w:tr>
      <w:tr>
        <w:tc>
          <w:tcPr>
            <w:tcW w:type="dxa" w:w="5329"/>
          </w:tcPr>
          <w:p>
            <w:r>
              <w:rPr>
                <w:sz w:val="14"/>
              </w:rPr>
              <w:t>POC</w:t>
            </w:r>
          </w:p>
        </w:tc>
        <w:tc>
          <w:tcPr>
            <w:tcW w:type="dxa" w:w="5329"/>
          </w:tcPr>
          <w:p>
            <w:r>
              <w:rPr>
                <w:sz w:val="14"/>
              </w:rPr>
              <w:t>Proof of Concept — démonstrateur de faisabilité, pas un produit de production.</w:t>
            </w:r>
          </w:p>
        </w:tc>
      </w:tr>
      <w:tr>
        <w:tc>
          <w:tcPr>
            <w:tcW w:type="dxa" w:w="5329"/>
          </w:tcPr>
          <w:p>
            <w:r>
              <w:rPr>
                <w:sz w:val="14"/>
              </w:rPr>
              <w:t>QLoRA</w:t>
            </w:r>
          </w:p>
        </w:tc>
        <w:tc>
          <w:tcPr>
            <w:tcW w:type="dxa" w:w="5329"/>
          </w:tcPr>
          <w:p>
            <w:r>
              <w:rPr>
                <w:sz w:val="14"/>
              </w:rPr>
              <w:t>LoRA appliqué sur un modèle chargé en quantification 4-bit.</w:t>
            </w:r>
          </w:p>
        </w:tc>
      </w:tr>
      <w:tr>
        <w:tc>
          <w:tcPr>
            <w:tcW w:type="dxa" w:w="5329"/>
          </w:tcPr>
          <w:p>
            <w:r>
              <w:rPr>
                <w:sz w:val="14"/>
              </w:rPr>
              <w:t>SFT</w:t>
            </w:r>
          </w:p>
        </w:tc>
        <w:tc>
          <w:tcPr>
            <w:tcW w:type="dxa" w:w="5329"/>
          </w:tcPr>
          <w:p>
            <w:r>
              <w:rPr>
                <w:sz w:val="14"/>
              </w:rPr>
              <w:t>Supervised Fine-Tuning — spécialisation supervisée classique, exemple par exemple.</w:t>
            </w:r>
          </w:p>
        </w:tc>
      </w:tr>
      <w:tr>
        <w:tc>
          <w:tcPr>
            <w:tcW w:type="dxa" w:w="5329"/>
          </w:tcPr>
          <w:p>
            <w:r>
              <w:rPr>
                <w:sz w:val="14"/>
              </w:rPr>
              <w:t>vLLM</w:t>
            </w:r>
          </w:p>
        </w:tc>
        <w:tc>
          <w:tcPr>
            <w:tcW w:type="dxa" w:w="5329"/>
          </w:tcPr>
          <w:p>
            <w:r>
              <w:rPr>
                <w:sz w:val="14"/>
              </w:rPr>
              <w:t>Moteur de service d'inférence LLM haute performance, imposé par le cahier des charges.</w:t>
            </w:r>
          </w:p>
        </w:tc>
      </w:tr>
    </w:tbl>
    <w:p/>
    <w:p>
      <w:pPr>
        <w:pStyle w:val="Heading1"/>
      </w:pPr>
      <w:r>
        <w:t>Références</w:t>
      </w:r>
    </w:p>
    <w:p>
      <w:r>
        <w:t>README.md (racine du dépôt) — journal complet des runs, métriques, dépannage et guide de déploiement.</w:t>
      </w:r>
    </w:p>
    <w:p>
      <w:r>
        <w:t>docs/00_cadrage/01_cahier_des_charges.md — cahier des charges de la mission.</w:t>
      </w:r>
    </w:p>
    <w:p>
      <w:r>
        <w:t>docs/00_cadrage/05_presentation_soutenance.pptx — support de soutenance détaillé.</w:t>
      </w:r>
    </w:p>
    <w:p>
      <w:r>
        <w:t>vllm-project/vllm, issue #58616 — signalement du segfault et de sa résolution.</w:t>
      </w:r>
    </w:p>
    <w:p>
      <w:r>
        <w:t>docs/01_environnement/00_guide_installation_environnement.md — guide d'installation.</w:t>
      </w:r>
    </w:p>
    <w:p>
      <w:r>
        <w:t>docs/references/M14 Support de presentation_V3.pptx.pdf — support de présentation détaillé, référence complémentaire.</w:t>
      </w:r>
    </w:p>
    <w:sectPr w:rsidR="00FC693F" w:rsidRPr="0006063C" w:rsidSect="00034616">
      <w:type w:val="continuous"/>
      <w:pgSz w:w="11906" w:h="16838"/>
      <w:pgMar w:top="794" w:right="624" w:bottom="567" w:left="624" w:header="720" w:footer="720" w:gutter="0"/>
      <w:cols w:space="425"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tima" w:hAnsi="Optima" w:eastAsia="Optima"/>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B0F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B0F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33339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Arial"/>
      <w:b/>
      <w:bCs/>
      <w:i/>
      <w:iCs/>
      <w:color w:val="9A6B21"/>
      <w:sz w:val="1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2D4F8E"/>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