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00000"/>
          <w:sz w:val="44"/>
        </w:rPr>
        <w:t>Room to Regulate Consumer Insights Research Kit</w:t>
      </w:r>
    </w:p>
    <w:p>
      <w:r>
        <w:t>Recruitment, interviews, tool testing, and synthesis  |  September 2026</w:t>
      </w:r>
    </w:p>
    <w:p>
      <w:r>
        <w:t>Use this kit to understand how neurodivergent moms and moms raising neurodivergent kids find help during difficult moments, and to decide which Room to Regulate tools deserve development first. Interview about recent behavior before introducing the brand. Treat current positioning and sponsor assumptions as hypotheses until participants and usage data support them.</w:t>
      </w:r>
    </w:p>
    <w:p>
      <w:pPr>
        <w:pStyle w:val="Heading1"/>
      </w:pPr>
      <w:r>
        <w:t>Research decisions</w:t>
      </w:r>
    </w:p>
    <w:p>
      <w:pPr>
        <w:pStyle w:val="ListBullet"/>
      </w:pPr>
      <w:r>
        <w:t>Which moments create the strongest need for validation, immediate action, and systems help?</w:t>
      </w:r>
    </w:p>
    <w:p>
      <w:pPr>
        <w:pStyle w:val="ListBullet"/>
      </w:pPr>
      <w:r>
        <w:t>What do moms already use, abandon, or distrust, and why?</w:t>
      </w:r>
    </w:p>
    <w:p>
      <w:pPr>
        <w:pStyle w:val="ListBullet"/>
      </w:pPr>
      <w:r>
        <w:t>Can a participant complete the IEP meeting request builder confidently, and what happens after she sends the letter?</w:t>
      </w:r>
    </w:p>
    <w:p>
      <w:pPr>
        <w:pStyle w:val="ListBullet"/>
      </w:pPr>
      <w:r>
        <w:t>Which next tool solves a frequent, costly, and poorly served problem?</w:t>
      </w:r>
    </w:p>
    <w:p>
      <w:pPr>
        <w:pStyle w:val="Heading1"/>
      </w:pPr>
      <w:r>
        <w:t>Study design</w:t>
      </w:r>
    </w:p>
    <w:p>
      <w:r>
        <w:t>Recruit 12 individual participants for 45 to 60 minute remote interviews. Aim for four neurodivergent moms, four moms raising neurodivergent children who do not identify as neurodivergent, and four who are both. Include differences in child age, diagnosis or suspected needs, school support experience, income, race, geography, and solo versus shared caregiving. These are purposeful quotas, not a representative sample. Offer a fair honorarium and do not recruit only from the founder’s network.</w:t>
      </w:r>
    </w:p>
    <w:p>
      <w:r>
        <w:t>Conduct six initial discovery interviews, refine the guide, then conduct six more. Show the IEP tool only to participants for whom school support is relevant; test a separate relevant tool with others when available. Follow up with an optional two day diary prompt: “What was a moment you needed help today, and what did you do?” Analyze patterns and disagreements before a short validation survey.</w:t>
      </w:r>
    </w:p>
    <w:p>
      <w:pPr>
        <w:pStyle w:val="Heading1"/>
      </w:pPr>
      <w:r>
        <w:t>Recruitment screener</w:t>
      </w:r>
    </w:p>
    <w:p>
      <w:r>
        <w:t>Invite: “We are speaking with mothers about how they find support for daily family logistics, school, healthcare, and their own capacity. This is research, not a service or sales call. You may skip any question.”</w:t>
      </w:r>
    </w:p>
    <w:p>
      <w:r>
        <w:t>1. Are you a mother or primary maternal caregiver of a child under 18?  Yes / No [end if no]</w:t>
      </w:r>
    </w:p>
    <w:p>
      <w:r>
        <w:t>2. Do you identify as neurodivergent?  Yes / No / Unsure / Prefer not to say. A formal diagnosis is not required.</w:t>
      </w:r>
    </w:p>
    <w:p>
      <w:r>
        <w:t>3. Does a child you care for have, or may have, neurodevelopmental support needs?  Yes, diagnosed / Yes, exploring / No / Prefer not to say.</w:t>
      </w:r>
    </w:p>
    <w:p>
      <w:r>
        <w:t>4. What age range is your child or children?  0–4 / 5–8 / 9–12 / 13–17 / Multiple ranges.</w:t>
      </w:r>
    </w:p>
    <w:p>
      <w:r>
        <w:t>5. Which have you handled in the last six months?  School accommodation or IEP / Therapy or clinical appointment / Insurance or benefits / Childcare or respite / Daily routines / None / Other.</w:t>
      </w:r>
    </w:p>
    <w:p>
      <w:r>
        <w:t>6. What best describes your current caregiving arrangement and work situation?  Optional, open response.</w:t>
      </w:r>
    </w:p>
    <w:p>
      <w:r>
        <w:t>7. Would you be comfortable reviewing a sample tool during a recorded remote conversation?  Yes / No. Recording is optional; participation need not depend on it.</w:t>
      </w:r>
    </w:p>
    <w:p>
      <w:r>
        <w:t>8. Preferred contact information and accessible format or scheduling needs. Collect separately from research responses.</w:t>
      </w:r>
    </w:p>
    <w:p>
      <w:r>
        <w:t>Screen out vendors, clinicians, or advocates only when they are participating solely in a professional capacity. Do not ask for a child’s name, diagnosis documents, IEP, insurance number, or other records during screening.</w:t>
      </w:r>
    </w:p>
    <w:p>
      <w:pPr>
        <w:pStyle w:val="Heading1"/>
      </w:pPr>
      <w:r>
        <w:t>Invitation and consent script</w:t>
      </w:r>
    </w:p>
    <w:p>
      <w:r>
        <w:t>“Thank you for joining. I’m researching how parents get through real situations and whether some proposed tools help. This will take about 50 minutes. Some questions may touch on stressful experiences. You can skip anything, take a break, or stop. We will summarize findings without your name. We will not share your responses with sponsors. May I take notes? May I record audio for research review? Recording is optional, and you can ask me to stop it at any time. Please avoid showing documents with your child’s identifying information. This session is not medical, educational, or legal advice. Do you have any questions, and do you agree to participate?”</w:t>
      </w:r>
    </w:p>
    <w:p>
      <w:r>
        <w:t>Record separate yes or no responses for participation and recording. State the retention period and deletion contact before recruiting once those operational details are set. If someone becomes distressed, pause and offer to stop; do not press for a story.</w:t>
      </w:r>
    </w:p>
    <w:p>
      <w:pPr>
        <w:pStyle w:val="Heading1"/>
      </w:pPr>
      <w:r>
        <w:t>Interview guide</w:t>
      </w:r>
    </w:p>
    <w:p>
      <w:pPr>
        <w:pStyle w:val="Heading2"/>
      </w:pPr>
      <w:r>
        <w:t>Opening and context  5 minutes</w:t>
      </w:r>
    </w:p>
    <w:p>
      <w:r>
        <w:t>1. Tell me about your household and what tends to fall to you on a typical weekday.</w:t>
      </w:r>
    </w:p>
    <w:p>
      <w:r>
        <w:t>2. When you say you need support, what does that mean in your own words? Do you use the word “regulation” for yourself, your child, both, or neither?</w:t>
      </w:r>
    </w:p>
    <w:p>
      <w:pPr>
        <w:pStyle w:val="Heading2"/>
      </w:pPr>
      <w:r>
        <w:t>Recent moment  15 minutes</w:t>
      </w:r>
    </w:p>
    <w:p>
      <w:r>
        <w:t>1. Think of the last time family life felt hard enough that you looked for help. What happened, starting just before it became difficult?</w:t>
      </w:r>
    </w:p>
    <w:p>
      <w:r>
        <w:t>2. What did you need to happen in the next ten minutes? What could wait until later?</w:t>
      </w:r>
    </w:p>
    <w:p>
      <w:r>
        <w:t>3. What did you do first? Show or describe where you looked, if comfortable. What did you search or ask?</w:t>
      </w:r>
    </w:p>
    <w:p>
      <w:r>
        <w:t>4. What did you find useful? What did you save, close, or abandon? Why?</w:t>
      </w:r>
    </w:p>
    <w:p>
      <w:r>
        <w:t>5. Who else needed to act for the situation to improve? What work was left with you?</w:t>
      </w:r>
    </w:p>
    <w:p>
      <w:r>
        <w:t>6. What would a genuinely useful response have done for you at that point?</w:t>
      </w:r>
    </w:p>
    <w:p>
      <w:pPr>
        <w:pStyle w:val="Heading2"/>
      </w:pPr>
      <w:r>
        <w:t>Patterns and choices  10 minutes</w:t>
      </w:r>
    </w:p>
    <w:p>
      <w:r>
        <w:t>1. When does advice feel reassuring, and when does it feel like one more assignment?</w:t>
      </w:r>
    </w:p>
    <w:p>
      <w:r>
        <w:t>2. Tell me about the last template, checklist, community post, or service that actually helped. What made it usable?</w:t>
      </w:r>
    </w:p>
    <w:p>
      <w:r>
        <w:t>3. What would make you hesitate to enter information about yourself or your child into a tool?</w:t>
      </w:r>
    </w:p>
    <w:p>
      <w:r>
        <w:t>4. If you could remove one recurring task from your week, what would it be? What has stopped you from handing it off?</w:t>
      </w:r>
    </w:p>
    <w:p>
      <w:pPr>
        <w:pStyle w:val="Heading2"/>
      </w:pPr>
      <w:r>
        <w:t>Concept reaction  5 minutes</w:t>
      </w:r>
    </w:p>
    <w:p>
      <w:r>
        <w:t>Read these brief descriptions in rotating order: Survive offers first-person stories and recognition; Solve offers scripts and working tools; Shift explains policies and actions that may change systems. Ask: Which, if any, fits a recent need? Which words sound natural or off? What feels missing? Avoid asking participants to rank brand pillars before hearing their stories.</w:t>
      </w:r>
    </w:p>
    <w:p>
      <w:pPr>
        <w:pStyle w:val="Heading1"/>
      </w:pPr>
      <w:r>
        <w:t>IEP builder usability session</w:t>
      </w:r>
    </w:p>
    <w:p>
      <w:r>
        <w:t>Allow 12 to 15 minutes. Give a fictional child and school, or let the participant use invented details. Say: “Imagine you want a meeting because current supports are not working. Please use this page to prepare what you would send. Speak aloud when something surprises you.” Observe without teaching. Then ask the participant to locate the next step if the school does not reply.</w:t>
      </w:r>
    </w:p>
    <w:p>
      <w:r>
        <w:t>1. Where would you expect to find this tool? Before clicking, what do you think it will produce?</w:t>
      </w:r>
    </w:p>
    <w:p>
      <w:r>
        <w:t>2. Start a request using fictional details. Watch for uncertainty about the recipient, reasons, optional fields, and whether the letter updates as expected.</w:t>
      </w:r>
    </w:p>
    <w:p>
      <w:r>
        <w:t>3. Review the finished letter. What would you change before sending? Is anything too strong, too vague, or missing?</w:t>
      </w:r>
    </w:p>
    <w:p>
      <w:r>
        <w:t>4. Choose copy, download, or email. What would you actually do? Do you expect entered details to be saved or shared?</w:t>
      </w:r>
    </w:p>
    <w:p>
      <w:r>
        <w:t>5. Find what to do after sending and where to get local, free help. What would you do if the school disagreed?</w:t>
      </w:r>
    </w:p>
    <w:p>
      <w:r>
        <w:t>6. Confidence rating: 1 to 5. “How confident are you that you could send this?” Ask what would raise the rating by one point.</w:t>
      </w:r>
    </w:p>
    <w:p>
      <w:r>
        <w:t>Moderator notes: measure independent completion, time to usable draft, errors, help requests, trust concerns, and whether the participant understands that rules vary by state. Do not collect real child data in recordings. Separately review any legal claims and state-specific guidance with a qualified specialist before publication.</w:t>
      </w:r>
    </w:p>
    <w:p>
      <w:pPr>
        <w:pStyle w:val="Heading1"/>
      </w:pPr>
      <w:r>
        <w:t>Analysis and insight coding</w:t>
      </w:r>
    </w:p>
    <w:p>
      <w:r>
        <w:t>Create one row per observed moment or usability issue. Preserve short, anonymous verbatim phrases. Separate what happened from your interpretation and product idea.</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Pr>
          <w:p>
            <w:r>
              <w:t>ID / segment</w:t>
            </w:r>
          </w:p>
        </w:tc>
        <w:tc>
          <w:tcPr>
            <w:tcW w:type="dxa" w:w="1958"/>
          </w:tcPr>
          <w:p>
            <w:r>
              <w:t>Trigger and goal</w:t>
            </w:r>
          </w:p>
        </w:tc>
        <w:tc>
          <w:tcPr>
            <w:tcW w:type="dxa" w:w="1958"/>
          </w:tcPr>
          <w:p>
            <w:r>
              <w:t>Action and friction</w:t>
            </w:r>
          </w:p>
        </w:tc>
        <w:tc>
          <w:tcPr>
            <w:tcW w:type="dxa" w:w="1958"/>
          </w:tcPr>
          <w:p>
            <w:r>
              <w:t>Evidence</w:t>
            </w:r>
          </w:p>
        </w:tc>
        <w:tc>
          <w:tcPr>
            <w:tcW w:type="dxa" w:w="1958"/>
          </w:tcPr>
          <w:p>
            <w:r>
              <w:t>Opportunity / confidence</w:t>
            </w:r>
          </w:p>
        </w:tc>
      </w:tr>
      <w:tr>
        <w:tc>
          <w:tcPr>
            <w:tcW w:type="dxa" w:w="1958"/>
          </w:tcPr>
          <w:p>
            <w:r>
              <w:t>P03 / both</w:t>
            </w:r>
          </w:p>
        </w:tc>
        <w:tc>
          <w:tcPr>
            <w:tcW w:type="dxa" w:w="1958"/>
          </w:tcPr>
          <w:p>
            <w:r>
              <w:t>School email; get meeting</w:t>
            </w:r>
          </w:p>
        </w:tc>
        <w:tc>
          <w:tcPr>
            <w:tcW w:type="dxa" w:w="1958"/>
          </w:tcPr>
          <w:p>
            <w:r>
              <w:t>Searched parent group; delayed sending</w:t>
            </w:r>
          </w:p>
        </w:tc>
        <w:tc>
          <w:tcPr>
            <w:tcW w:type="dxa" w:w="1958"/>
          </w:tcPr>
          <w:p>
            <w:r>
              <w:t>Quote and observed step</w:t>
            </w:r>
          </w:p>
        </w:tc>
        <w:tc>
          <w:tcPr>
            <w:tcW w:type="dxa" w:w="1958"/>
          </w:tcPr>
          <w:p>
            <w:r>
              <w:t>Shorter letter path / medium</w:t>
            </w:r>
          </w:p>
        </w:tc>
      </w:tr>
      <w:tr>
        <w:tc>
          <w:tcPr>
            <w:tcW w:type="dxa" w:w="1958"/>
          </w:tcPr>
          <w:p>
            <w:r>
              <w:t>P08 / child ND</w:t>
            </w:r>
          </w:p>
        </w:tc>
        <w:tc>
          <w:tcPr>
            <w:tcW w:type="dxa" w:w="1958"/>
          </w:tcPr>
          <w:p>
            <w:r>
              <w:t>Morning transition; leave home</w:t>
            </w:r>
          </w:p>
        </w:tc>
        <w:tc>
          <w:tcPr>
            <w:tcW w:type="dxa" w:w="1958"/>
          </w:tcPr>
          <w:p>
            <w:r>
              <w:t>Tried chart; required setup</w:t>
            </w:r>
          </w:p>
        </w:tc>
        <w:tc>
          <w:tcPr>
            <w:tcW w:type="dxa" w:w="1958"/>
          </w:tcPr>
          <w:p>
            <w:r>
              <w:t>Quote and frequency</w:t>
            </w:r>
          </w:p>
        </w:tc>
        <w:tc>
          <w:tcPr>
            <w:tcW w:type="dxa" w:w="1958"/>
          </w:tcPr>
          <w:p>
            <w:r>
              <w:t>Ready-to-use morning script / low</w:t>
            </w:r>
          </w:p>
        </w:tc>
      </w:tr>
    </w:tbl>
    <w:p>
      <w:r>
        <w:t>Codes to apply: moment (morning, school, care, insurance, childcare, recovery); need (recognition, decision, script, referral, delegated work, policy clarity); state (urgent, depleted, planning); barrier (time, money, trust, privacy, sensory load, eligibility, another person); outcome (completed, delayed, abandoned); and participant segment. Add an unexpected code when the data requires it.</w:t>
      </w:r>
    </w:p>
    <w:p>
      <w:pPr>
        <w:pStyle w:val="Heading1"/>
      </w:pPr>
      <w:r>
        <w:t>Decision rules and readout</w:t>
      </w:r>
    </w:p>
    <w:p>
      <w:r>
        <w:t>For each theme, report the number of participants who raised it, the contexts in which it appeared, counterexamples, and one or two anonymized quotations. Do not turn 12 interviews into population percentages. Prioritize ideas by severity of the problem, recurrence, existing workaround, ability to make progress in minutes, trust required, and development effort. Distinguish stated interest from observed tool use.</w:t>
      </w:r>
    </w:p>
    <w:p>
      <w:r>
        <w:t>Recommended readout: five strongest insights; a journey of before, during, and after the hard moment; IEP builder issues ordered by severity; a ranked three-idea backlog; and open questions for a follow-up survey. A survey should test the prevalence of specific behaviors using neutral wording and a wider recruitment mix. Keep audience estimates and sponsor-facing claims separate until measured directly.</w:t>
      </w:r>
    </w:p>
    <w:p>
      <w:pPr>
        <w:pStyle w:val="Heading1"/>
      </w:pPr>
      <w:r>
        <w:t>Research boundaries</w:t>
      </w:r>
    </w:p>
    <w:p>
      <w:r>
        <w:t>The attached audience and media materials contain placeholder first-party reach figures and broad parent or child population statistics. Do not present these as measured behavior or reach for this particular audience. Sponsorship concepts should be tested only after unmet needs and trust boundaries are understood. Keep individual responses and tool inputs away from partner reporting.</w:t>
      </w:r>
    </w:p>
    <w:sectPr w:rsidR="00FC693F" w:rsidRPr="0006063C" w:rsidSect="00034616">
      <w:pgSz w:w="12240" w:h="15840"/>
      <w:pgMar w:top="1123"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423E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