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80"/>
        <w:ind w:firstLine="0" w:left="0" w:right="0"/>
        <w:jc w:val="center"/>
      </w:pPr>
      <w:r>
        <w:rPr>
          <w:rFonts w:ascii="Times New Roman" w:hAnsi="Times New Roman" w:cs="Times New Roman" w:eastAsia="黑体"/>
          <w:b w:val="0"/>
          <w:color w:val="59606A"/>
          <w:sz w:val="28"/>
          <w:spacing w:val="60"/>
        </w:rPr>
        <w:t>复旦大学上海医学院</w:t>
      </w:r>
    </w:p>
    <w:p>
      <w:pPr>
        <w:spacing w:before="0" w:after="800"/>
        <w:ind w:firstLine="0" w:left="0" w:right="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32"/>
          <w:spacing w:val="40"/>
        </w:rPr>
        <w:t>功能学科综合实验</w:t>
      </w:r>
    </w:p>
    <w:p>
      <w:pPr>
        <w:spacing w:before="0" w:after="120" w:line="288" w:lineRule="auto"/>
        <w:ind w:firstLine="0" w:left="0" w:right="0"/>
        <w:jc w:val="center"/>
      </w:pPr>
      <w:r>
        <w:rPr>
          <w:rFonts w:ascii="Arial" w:hAnsi="Arial" w:cs="Arial" w:eastAsia="黑体"/>
          <w:b/>
          <w:color w:val="000000"/>
          <w:sz w:val="52"/>
        </w:rPr>
        <w:t>药物半数致死量（LD50）的测定实验报告（示例）</w:t>
      </w:r>
    </w:p>
    <w:p>
      <w:pPr>
        <w:spacing w:before="0" w:after="0"/>
        <w:ind w:firstLine="0" w:left="0" w:right="0"/>
        <w:jc w:val="center"/>
      </w:pPr>
      <w:r>
        <w:rPr>
          <w:rFonts w:ascii="Times New Roman" w:hAnsi="Times New Roman" w:cs="Times New Roman" w:eastAsia="宋体"/>
          <w:b w:val="0"/>
          <w:color w:val="59606A"/>
          <w:sz w:val="24"/>
        </w:rPr>
        <w:t>实验 8.1</w:t>
      </w:r>
    </w:p>
    <w:p>
      <w:pPr>
        <w:spacing w:before="800" w:after="800"/>
        <w:ind w:firstLine="0" w:left="0" w:right="0"/>
        <w:jc w:val="center"/>
      </w:pPr>
      <w:r>
        <w:drawing>
          <wp:inline>
            <wp:extent cx="2520000" cy="1183074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u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183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ind w:firstLine="0" w:left="0" w:right="0"/>
        <w:jc w:val="center"/>
      </w:pPr>
      <w:r>
        <w:rPr>
          <w:rFonts w:ascii="Times New Roman" w:hAnsi="Times New Roman" w:cs="Times New Roman" w:eastAsia="黑体"/>
          <w:b w:val="0"/>
          <w:color w:val="59606A"/>
          <w:sz w:val="26"/>
        </w:rPr>
        <w:t xml:space="preserve">班　级　</w:t>
      </w:r>
      <w:r>
        <w:rPr>
          <w:rFonts w:ascii="Times New Roman" w:hAnsi="Times New Roman" w:cs="Times New Roman" w:eastAsia="宋体"/>
          <w:b w:val="0"/>
          <w:color w:val="000000"/>
          <w:sz w:val="28"/>
        </w:rPr>
        <w:t>24 临床医学五年制</w:t>
      </w:r>
    </w:p>
    <w:p>
      <w:pPr>
        <w:spacing w:before="0" w:after="160"/>
        <w:ind w:firstLine="0" w:left="0" w:right="0"/>
        <w:jc w:val="center"/>
      </w:pPr>
      <w:r>
        <w:rPr>
          <w:rFonts w:ascii="Times New Roman" w:hAnsi="Times New Roman" w:cs="Times New Roman" w:eastAsia="黑体"/>
          <w:b w:val="0"/>
          <w:color w:val="59606A"/>
          <w:sz w:val="26"/>
        </w:rPr>
        <w:t xml:space="preserve">姓　名　</w:t>
      </w:r>
      <w:r>
        <w:rPr>
          <w:rFonts w:ascii="Times New Roman" w:hAnsi="Times New Roman" w:cs="Times New Roman" w:eastAsia="宋体"/>
          <w:b w:val="0"/>
          <w:color w:val="000000"/>
          <w:sz w:val="28"/>
        </w:rPr>
        <w:t>示例同学</w:t>
      </w:r>
    </w:p>
    <w:p>
      <w:pPr>
        <w:spacing w:before="0" w:after="160"/>
        <w:ind w:firstLine="0" w:left="0" w:right="0"/>
        <w:jc w:val="center"/>
      </w:pPr>
      <w:r>
        <w:rPr>
          <w:rFonts w:ascii="Times New Roman" w:hAnsi="Times New Roman" w:cs="Times New Roman" w:eastAsia="黑体"/>
          <w:b w:val="0"/>
          <w:color w:val="59606A"/>
          <w:sz w:val="26"/>
        </w:rPr>
        <w:t xml:space="preserve">学　号　</w:t>
      </w:r>
      <w:r>
        <w:rPr>
          <w:rFonts w:ascii="Times New Roman" w:hAnsi="Times New Roman" w:cs="Times New Roman" w:eastAsia="宋体"/>
          <w:b w:val="0"/>
          <w:color w:val="000000"/>
          <w:sz w:val="28"/>
        </w:rPr>
        <w:t>00000000000</w:t>
      </w:r>
    </w:p>
    <w:p>
      <w:pPr>
        <w:spacing w:before="0" w:after="160"/>
        <w:ind w:firstLine="0" w:left="0" w:right="0"/>
        <w:jc w:val="center"/>
      </w:pPr>
      <w:r>
        <w:rPr>
          <w:rFonts w:ascii="Times New Roman" w:hAnsi="Times New Roman" w:cs="Times New Roman" w:eastAsia="黑体"/>
          <w:b w:val="0"/>
          <w:color w:val="59606A"/>
          <w:sz w:val="26"/>
        </w:rPr>
        <w:t xml:space="preserve">小　组　</w:t>
      </w:r>
      <w:r>
        <w:rPr>
          <w:rFonts w:ascii="Times New Roman" w:hAnsi="Times New Roman" w:cs="Times New Roman" w:eastAsia="宋体"/>
          <w:b w:val="0"/>
          <w:color w:val="000000"/>
          <w:sz w:val="28"/>
        </w:rPr>
        <w:t>全班汇总</w:t>
      </w:r>
    </w:p>
    <w:p>
      <w:pPr>
        <w:spacing w:before="0" w:after="160"/>
        <w:ind w:firstLine="0" w:left="0" w:right="0"/>
        <w:jc w:val="center"/>
      </w:pPr>
      <w:r>
        <w:rPr>
          <w:rFonts w:ascii="Times New Roman" w:hAnsi="Times New Roman" w:cs="Times New Roman" w:eastAsia="黑体"/>
          <w:b w:val="0"/>
          <w:color w:val="59606A"/>
          <w:sz w:val="26"/>
        </w:rPr>
        <w:t xml:space="preserve">日　期　</w:t>
      </w:r>
      <w:r>
        <w:rPr>
          <w:rFonts w:ascii="Times New Roman" w:hAnsi="Times New Roman" w:cs="Times New Roman" w:eastAsia="宋体"/>
          <w:b w:val="0"/>
          <w:color w:val="000000"/>
          <w:sz w:val="28"/>
        </w:rPr>
        <w:t>2026.10.08</w:t>
      </w:r>
    </w:p>
    <w:p>
      <w:pPr>
        <w:spacing w:after="0"/>
        <w:sectPr>
          <w:pgSz w:h="16838" w:w="11906"/>
          <w:pgMar w:bottom="1440" w:footer="737" w:header="737" w:left="1701" w:right="1701" w:top="1440"/>
          <w:vAlign w:val="center"/>
        </w:sectPr>
      </w:pP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目 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spacing w:after="0"/>
        <w:sectPr>
          <w:headerReference r:id="rId9" w:type="default"/>
          <w:footerReference r:id="rId10" w:type="default"/>
          <w:pgSz w:h="16838" w:w="11906"/>
          <w:pgMar w:bottom="1440" w:footer="737" w:header="737" w:left="1701" w:right="1701" w:top="1440"/>
          <w:pgNumType w:fmt="upperRoman" w:start="1"/>
        </w:sectPr>
      </w:pPr>
    </w:p>
    <w:p>
      <w:pPr>
        <w:pStyle w:val="BlockText"/>
      </w:pPr>
      <w:r>
        <w:rPr>
          <w:bCs/>
          <w:b/>
        </w:rPr>
        <w:t xml:space="preserve">示例说明</w:t>
      </w:r>
      <w:r>
        <w:t xml:space="preserve">　这是演示用示例：数字取自作者班级的汇总结果，</w:t>
      </w:r>
      <w:r>
        <w:rPr>
          <w:bCs/>
          <w:b/>
        </w:rPr>
        <w:t xml:space="preserve">文字由工具流程重新撰写</w:t>
      </w:r>
      <w:r>
        <w:t xml:space="preserve">，姓名学号等已隐去。重点不在数据本身，而在流程能做什么：教材方法复现、模型比较、拟合优度、稳健性检验、规范作图、可复现命令（见附录）。请勿抄袭，请用你自己的实验记录。</w:t>
      </w:r>
    </w:p>
    <w:bookmarkStart w:id="20" w:name="摘要"/>
    <w:p>
      <w:pPr>
        <w:pStyle w:val="Heading1"/>
      </w:pPr>
      <w:r>
        <w:t xml:space="preserve">摘要</w:t>
      </w:r>
    </w:p>
    <w:p>
      <w:pPr>
        <w:pStyle w:val="FirstParagraph"/>
      </w:pPr>
      <w:r>
        <w:t xml:space="preserve">测定盐酸普鲁卡因经小鼠腹腔注射的半数致死量（LD50）。全班汇总 110 只小鼠，分 5 个剂量组（110.8～350.0 mg/kg），每组 22 只，观察 2 h 内死亡数，死亡率由 0/22 递增至 22/22。改良寇氏法求得 LD50 为 191.85 mg/kg（95% 可信限 178.25～206.48 mg/kg）；以 Probit 与 Logit 模型作最大似然拟合，LD50 分别为 193.10 与 191.92 mg/kg，三种估计相差不超过 1.3 mg/kg，可信区间高度重叠。拟合优度检验未提示模型不适合（偏差 1.859，P = 0.602），留一剂量组分析显示 LD50 在 187.4～203.5 mg/kg 之间变动，以 196.9 mg/kg 组影响最大。结果支持以约 192 mg/kg 作为本批数据的 LD50 估计值。</w:t>
      </w:r>
    </w:p>
    <w:p>
      <w:pPr>
        <w:pStyle w:val="BodyText"/>
      </w:pPr>
      <w:r>
        <w:rPr>
          <w:bCs/>
          <w:b/>
        </w:rPr>
        <w:t xml:space="preserve">关键词：</w:t>
      </w:r>
      <w:r>
        <w:t xml:space="preserve">半数致死量；质反应；改良寇氏法；Probit 模型；盐酸普鲁卡因</w:t>
      </w:r>
    </w:p>
    <w:bookmarkEnd w:id="20"/>
    <w:bookmarkStart w:id="21" w:name="引言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引言</w:t>
      </w:r>
    </w:p>
    <w:p>
      <w:pPr>
        <w:pStyle w:val="FirstParagraph"/>
      </w:pPr>
      <w:r>
        <w:t xml:space="preserve">按效应的性质，药物作用分为量反应与质反应：前者的指标可以连续测量，后者只有“发生”与“不发生”两种结局，如存活或死亡[1]。质反应实验把动物分组，各组给予不同剂量，统计各组出现反应的动物百分率；在一定范围内，反应率随剂量增大而递增，剂量取对数后曲线呈对称的“S”形，反应率转换为概率单位后与对数剂量呈直线关系，死亡率 50% 所对应的剂量即半数致死量[1]。</w:t>
      </w:r>
    </w:p>
    <w:p>
      <w:pPr>
        <w:pStyle w:val="BodyText"/>
      </w:pPr>
      <w:r>
        <w:t xml:space="preserve">LD50 是评价药物急性毒性的基本指标，并与半数有效量（ED50）一起用于计算治疗指数以评价安全性[1]。LD50 的算法不止一种，其中 Bliss 法（概率单位正规法）最严谨，教材着重介绍较为简便的改良寇氏法[1]。本实验用盐酸普鲁卡因腹腔注射测定小鼠 LD50，并在教材方法之外，用二项模型的最大似然拟合对结果作交叉验证，检查结论是否依赖于所选方法和某个剂量组。</w:t>
      </w:r>
    </w:p>
    <w:bookmarkEnd w:id="21"/>
    <w:bookmarkStart w:id="25" w:name="材料与方法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材料与方法</w:t>
      </w:r>
    </w:p>
    <w:bookmarkStart w:id="22" w:name="实验对象与药品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实验对象与药品</w:t>
      </w:r>
    </w:p>
    <w:p>
      <w:pPr>
        <w:pStyle w:val="FirstParagraph"/>
      </w:pPr>
      <w:r>
        <w:t xml:space="preserve">小鼠，体重约 20 g，全班汇总 110 只，随机分为 5 组，每组 22 只。盐酸普鲁卡因溶液浓度分别为 1.108%、1.477%、1.969%、2.625% 和 3.5%，对应剂量 110.8、147.7、196.9、262.5 和 350.0 mg/kg；动物以 5% 苦味酸标记；器材为天平、1 mL 注射器和鼠笼[1]。</w:t>
      </w:r>
    </w:p>
    <w:bookmarkEnd w:id="22"/>
    <w:bookmarkStart w:id="23" w:name="实验步骤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实验步骤</w:t>
      </w:r>
    </w:p>
    <w:p>
      <w:pPr>
        <w:pStyle w:val="FirstParagraph"/>
      </w:pPr>
      <w:r>
        <w:t xml:space="preserve">小鼠称重后按体重给药，容积为 0.1 mL/10 g（即 10 mL/kg），各组腹腔注射相应浓度的盐酸普鲁卡因溶液，注意准确称重、准确抽取药液、避免腹腔给药时漏液[1]。给药后 2 h 内记录各组的中毒表现和死亡数，最后合并全班数据计算 LD50。</w:t>
      </w:r>
    </w:p>
    <w:bookmarkEnd w:id="23"/>
    <w:bookmarkStart w:id="24" w:name="观察指标与数据处理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观察指标与数据处理</w:t>
      </w:r>
    </w:p>
    <w:p>
      <w:pPr>
        <w:pStyle w:val="FirstParagraph"/>
      </w:pPr>
      <w:r>
        <w:t xml:space="preserve">观察指标为 2 h 内各组死亡数及死亡率（p，以小数表示）。数据处理分四步，均由脚本完成以保证可复现：</w:t>
      </w:r>
    </w:p>
    <w:p>
      <w:pPr>
        <w:pStyle w:val="BodyText"/>
      </w:pPr>
      <w:r>
        <w:t xml:space="preserve">（1）</w:t>
      </w:r>
      <w:r>
        <w:rPr>
          <w:bCs/>
          <w:b/>
        </w:rPr>
        <w:t xml:space="preserve">改良寇氏法</w:t>
      </w:r>
      <w:r>
        <w:t xml:space="preserve">：设最大剂量对数值为</w:t>
      </w:r>
      <w:r>
        <w:t xml:space="preserve"> </w:t>
      </w:r>
      <m:oMath>
        <m:r>
          <m:rPr>
            <m:sty m:val="p"/>
          </m:rPr>
          <m:t>lg</m:t>
        </m:r>
        <m:sSub>
          <m:e>
            <m:r>
              <m:t>D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，相邻两组剂量比值的对数为</w:t>
      </w:r>
      <w:r>
        <w:t xml:space="preserve"> </w:t>
      </w:r>
      <m:oMath>
        <m:r>
          <m:t>I</m:t>
        </m:r>
      </m:oMath>
      <w:r>
        <w:t xml:space="preserve">，则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lg</m:t>
          </m:r>
          <m:sSub>
            <m:e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D</m:t>
              </m:r>
            </m:e>
            <m:sub>
              <m:r>
                <m:t>50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sSub>
            <m:e>
              <m:r>
                <m:t>D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−</m:t>
          </m:r>
          <m:r>
            <m:t>I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∑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0.5</m:t>
              </m:r>
            </m:e>
          </m:d>
        </m:oMath>
      </m:oMathPara>
    </w:p>
    <w:p>
      <w:pPr>
        <w:pStyle w:val="FirstParagraph"/>
      </w:pPr>
      <w:r>
        <w:t xml:space="preserve">其标准误为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I</m:t>
        </m:r>
        <m:rad>
          <m:radPr>
            <m:degHide m:val="on"/>
          </m:radPr>
          <m:deg/>
          <m:e>
            <m:r>
              <m:rPr>
                <m:sty m:val="p"/>
              </m:rPr>
              <m:t>∑</m:t>
            </m:r>
            <m: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</m:e>
            </m:d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rad>
      </m:oMath>
      <w:r>
        <w:t xml:space="preserve">，95% 可信限为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lg</m:t>
            </m:r>
            <m:sSub>
              <m:e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D</m:t>
                </m:r>
              </m:e>
              <m:sub>
                <m:r>
                  <m:t>50</m:t>
                </m:r>
              </m:sub>
            </m:sSub>
            <m:r>
              <m:rPr>
                <m:sty m:val="p"/>
              </m:rPr>
              <m:t>±</m:t>
            </m:r>
            <m:r>
              <m:t>1.96</m:t>
            </m:r>
            <m:r>
              <m:t>s</m:t>
            </m:r>
          </m:sup>
        </m:sSup>
      </m:oMath>
      <w:r>
        <w:t xml:space="preserve">[1]。该法要求最小剂量组死亡率为 0、最大剂量组为 100%，本数据满足。</w:t>
      </w:r>
    </w:p>
    <w:p>
      <w:pPr>
        <w:pStyle w:val="BodyText"/>
      </w:pPr>
      <w:r>
        <w:t xml:space="preserve">（2）</w:t>
      </w:r>
      <w:r>
        <w:rPr>
          <w:bCs/>
          <w:b/>
        </w:rPr>
        <w:t xml:space="preserve">二项模型</w:t>
      </w:r>
      <w:r>
        <w:t xml:space="preserve">：令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D</m:t>
            </m:r>
            <m:r>
              <m:rPr>
                <m:sty m:val="p"/>
              </m:rPr>
              <m:t>/</m:t>
            </m:r>
            <m:r>
              <m:t>200</m:t>
            </m:r>
          </m:e>
        </m:d>
      </m:oMath>
      <w:r>
        <w:t xml:space="preserve">，各组死亡数服从二项分布，</w:t>
      </w:r>
      <m:oMath>
        <m:sSup>
          <m:e>
            <m: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π</m:t>
            </m:r>
          </m:e>
        </m:d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（Probit）或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t</m:t>
        </m:r>
        <m:d>
          <m:dPr>
            <m:begChr m:val="("/>
            <m:endChr m:val=")"/>
            <m:sepChr m:val=""/>
            <m:grow/>
          </m:dPr>
          <m:e>
            <m:r>
              <m:t>π</m:t>
            </m:r>
          </m:e>
        </m:d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（Logit），以最大似然估计</w:t>
      </w:r>
      <w:r>
        <w:t xml:space="preserve"> </w:t>
      </w:r>
      <m:oMath>
        <m:r>
          <m:t>a</m:t>
        </m:r>
      </m:oMath>
      <w:r>
        <w:t xml:space="preserve">、</w:t>
      </w:r>
      <m:oMath>
        <m:r>
          <m:t>b</m:t>
        </m:r>
      </m:oMath>
      <w:r>
        <w:t xml:space="preserve">，</w:t>
      </w:r>
      <m:oMath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e>
          <m:sub>
            <m:r>
              <m:t>50</m:t>
            </m:r>
          </m:sub>
        </m:sSub>
        <m:r>
          <m:rPr>
            <m:sty m:val="p"/>
          </m:rPr>
          <m:t>=</m:t>
        </m:r>
        <m:r>
          <m:t>200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；其 95% 可信区间取似然剖面中似然比统计量不超过 3.841 的范围。</w:t>
      </w:r>
    </w:p>
    <w:p>
      <w:pPr>
        <w:pStyle w:val="BodyText"/>
      </w:pPr>
      <w:r>
        <w:t xml:space="preserve">（3）</w:t>
      </w:r>
      <w:r>
        <w:rPr>
          <w:bCs/>
          <w:b/>
        </w:rPr>
        <w:t xml:space="preserve">拟合优度</w:t>
      </w:r>
      <w:r>
        <w:t xml:space="preserve">：计算偏差及 Pearson 残差，并以拟合的 Probit 模型为真模型做 3 000 次参数 bootstrap，求观察偏差在其分布中的位置；两个模型用 AIC 比较。</w:t>
      </w:r>
    </w:p>
    <w:p>
      <w:pPr>
        <w:pStyle w:val="BodyText"/>
      </w:pPr>
      <w:r>
        <w:t xml:space="preserve">（4）</w:t>
      </w:r>
      <w:r>
        <w:rPr>
          <w:bCs/>
          <w:b/>
        </w:rPr>
        <w:t xml:space="preserve">稳健性</w:t>
      </w:r>
      <w:r>
        <w:t xml:space="preserve">：逐一去掉一个剂量组后重新估计 LD50（留一剂量组）。</w:t>
      </w:r>
    </w:p>
    <w:p>
      <w:pPr>
        <w:pStyle w:val="BodyText"/>
      </w:pPr>
      <w:r>
        <w:t xml:space="preserve">死亡率的 95% 可信区间采用 Clopper–Pearson 精确法。作图采用对数剂量轴，误差线含义写入图注。</w:t>
      </w:r>
    </w:p>
    <w:bookmarkEnd w:id="24"/>
    <w:bookmarkEnd w:id="25"/>
    <w:bookmarkStart w:id="36" w:name="结果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结果</w:t>
      </w:r>
    </w:p>
    <w:bookmarkStart w:id="26" w:name="各剂量组死亡率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各剂量组死亡率</w:t>
      </w:r>
    </w:p>
    <w:p>
      <w:pPr>
        <w:pStyle w:val="FirstParagraph"/>
      </w:pPr>
      <w:r>
        <w:t xml:space="preserve">以剂量的对数为横轴，死亡率随剂量增大由 0/22 单调递增至 22/22（表 1），呈长尾“S”形曲线的上升段。最小剂量组无死亡，最大剂量组全部死亡，满足改良寇氏法的适用条件。死亡率变化集中在 147.7～262.5 mg/kg 之间，仅 196.9 mg/kg 一组（14/22）接近 50%。</w:t>
      </w:r>
    </w:p>
    <w:p>
      <w:pPr>
        <w:pStyle w:val="BodyText"/>
      </w:pPr>
      <w:r>
        <w:rPr>
          <w:bCs/>
          <w:b/>
        </w:rPr>
        <w:t xml:space="preserve">表 1　各剂量组的小鼠死亡情况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single" w:sz="12" w:space="0" w:color="000000"/>
          <w:bottom w:val="single" w:sz="12" w:space="0" w:color="000000"/>
        </w:tblBorders>
        <w:tblCellMar>
          <w:top w:w="40" w:type="dxa"/>
          <w:bottom w:w="40" w:type="dxa"/>
          <w:left w:w="80" w:type="dxa"/>
          <w:right w:w="80" w:type="dxa"/>
        </w:tblCellMar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b/>
                <w:sz w:val="21"/>
              </w:rPr>
              <w:t xml:space="preserve">组别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b/>
                <w:sz w:val="21"/>
              </w:rPr>
              <w:t xml:space="preserve">剂量（mg/kg）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b/>
                <w:sz w:val="21"/>
              </w:rPr>
              <w:t xml:space="preserve">动物数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b/>
                <w:sz w:val="21"/>
              </w:rPr>
              <w:t xml:space="preserve">死亡数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b/>
                <w:sz w:val="21"/>
              </w:rPr>
              <w:t xml:space="preserve">死亡率（%）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b/>
                <w:sz w:val="21"/>
              </w:rPr>
              <w:t xml:space="preserve">死亡率 95% 可信区间（%）</w:t>
            </w:r>
          </w:p>
        </w:tc>
      </w:tr>
      <w:tr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110.8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22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0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0.0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0.0～15.4</w:t>
            </w:r>
          </w:p>
        </w:tc>
      </w:tr>
      <w:tr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2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147.7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22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4.5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0.1～22.8</w:t>
            </w:r>
          </w:p>
        </w:tc>
      </w:tr>
      <w:tr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3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196.9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22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14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63.6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40.7～82.8</w:t>
            </w:r>
          </w:p>
        </w:tc>
      </w:tr>
      <w:tr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4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262.5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22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20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90.9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70.8～98.9</w:t>
            </w:r>
          </w:p>
        </w:tc>
      </w:tr>
      <w:tr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5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350.0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22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22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100.0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84.6～100.0</w:t>
            </w:r>
          </w:p>
        </w:tc>
      </w:tr>
    </w:tbl>
    <w:p>
      <w:pPr>
        <w:pStyle w:val="BodyText"/>
      </w:pPr>
      <w:r>
        <w:t xml:space="preserve">注：可信区间为 Clopper–Pearson 精确区间。</w:t>
      </w:r>
    </w:p>
    <w:bookmarkEnd w:id="26"/>
    <w:bookmarkStart w:id="30" w:name="ld50-的三种估计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LD50 的三种估计</w:t>
      </w:r>
    </w:p>
    <w:p>
      <w:pPr>
        <w:pStyle w:val="FirstParagraph"/>
      </w:pPr>
      <w:r>
        <w:t xml:space="preserve">改良寇氏法得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0.124882</m:t>
        </m:r>
      </m:oMath>
      <w:r>
        <w:t xml:space="preserve">，</w:t>
      </w:r>
      <m:oMath>
        <m:r>
          <m:rPr>
            <m:sty m:val="p"/>
          </m:rPr>
          <m:t>∑</m:t>
        </m:r>
        <m:r>
          <m:t>p</m:t>
        </m:r>
        <m:r>
          <m:rPr>
            <m:sty m:val="p"/>
          </m:rPr>
          <m:t>=</m:t>
        </m:r>
        <m:r>
          <m:t>2.590909</m:t>
        </m:r>
      </m:oMath>
      <w:r>
        <w:t xml:space="preserve">，</w:t>
      </w:r>
      <m:oMath>
        <m:r>
          <m:rPr>
            <m:sty m:val="p"/>
          </m:rPr>
          <m:t>lg</m:t>
        </m:r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e>
          <m:sub>
            <m:r>
              <m:t>50</m:t>
            </m:r>
          </m:sub>
        </m:sSub>
        <m:r>
          <m:rPr>
            <m:sty m:val="p"/>
          </m:rPr>
          <m:t>=</m:t>
        </m:r>
        <m:r>
          <m:t>2.282951</m:t>
        </m:r>
      </m:oMath>
      <w:r>
        <w:t xml:space="preserve">，</w:t>
      </w:r>
      <m:oMath>
        <m:r>
          <m:t>s</m:t>
        </m:r>
        <m:r>
          <m:rPr>
            <m:sty m:val="p"/>
          </m:rPr>
          <m:t>=</m:t>
        </m:r>
        <m:r>
          <m:t>0.016293</m:t>
        </m:r>
      </m:oMath>
      <w:r>
        <w:t xml:space="preserve">，LD50 = 191.85 mg/kg，95% 可信限为 178.25～206.48 mg/kg。Probit 模型拟合得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0.18558</m:t>
        </m:r>
      </m:oMath>
      <w:r>
        <w:t xml:space="preserve">、</w:t>
      </w:r>
      <m:oMath>
        <m:r>
          <m:t>b</m:t>
        </m:r>
        <m:r>
          <m:rPr>
            <m:sty m:val="p"/>
          </m:rPr>
          <m:t>=</m:t>
        </m:r>
        <m:r>
          <m:t>5.28410</m:t>
        </m:r>
      </m:oMath>
      <w:r>
        <w:t xml:space="preserve">，LD50 = 193.10 mg/kg；Logit 模型的估计为 191.92 mg/kg（表 2）。三种估计两两相差不超过 1.3 mg/kg（0.7%），各自的 95% 可信区间几乎重合。图 1A 显示两条拟合曲线几乎重叠，且均穿过各组观察死亡率的精确区间；图 1B 的似然剖面在 3.841 处截得的区间与表 2 一致。</w:t>
      </w:r>
    </w:p>
    <w:p>
      <w:pPr>
        <w:pStyle w:val="BodyText"/>
      </w:pPr>
      <w:r>
        <w:rPr>
          <w:bCs/>
          <w:b/>
        </w:rPr>
        <w:t xml:space="preserve">表 2　三种方法的 LD50 估计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single" w:sz="12" w:space="0" w:color="000000"/>
          <w:bottom w:val="single" w:sz="12" w:space="0" w:color="000000"/>
        </w:tblBorders>
        <w:tblCellMar>
          <w:top w:w="40" w:type="dxa"/>
          <w:bottom w:w="40" w:type="dxa"/>
          <w:left w:w="80" w:type="dxa"/>
          <w:right w:w="80" w:type="dxa"/>
        </w:tblCellMar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b/>
                <w:sz w:val="21"/>
              </w:rPr>
              <w:t xml:space="preserve">方法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b/>
                <w:sz w:val="21"/>
              </w:rPr>
              <w:t xml:space="preserve">LD50（mg/kg）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b/>
                <w:sz w:val="21"/>
              </w:rPr>
              <w:t xml:space="preserve">95% 可信区间（mg/kg）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b/>
                <w:sz w:val="21"/>
              </w:rPr>
              <w:t xml:space="preserve">AIC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b/>
                <w:sz w:val="21"/>
              </w:rPr>
              <w:t xml:space="preserve">偏差（df = 3）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b/>
                <w:sz w:val="21"/>
              </w:rPr>
              <w:t xml:space="preserve">拟合优度 P</w:t>
            </w:r>
          </w:p>
        </w:tc>
      </w:tr>
      <w:tr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改良寇氏法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191.85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178.25～206.48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–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–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Probit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193.10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179.16～207.79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13.823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1.859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0.602</w:t>
            </w:r>
          </w:p>
        </w:tc>
      </w:tr>
      <w:tr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Logit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191.92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178.29～206.44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13.901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1.938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0.585</w:t>
            </w:r>
          </w:p>
        </w:tc>
      </w:tr>
    </w:tbl>
    <w:p>
      <w:pPr>
        <w:pStyle w:val="CaptionedFigure"/>
      </w:pPr>
      <w:r>
        <w:drawing>
          <wp:inline>
            <wp:extent cx="5397500" cy="2416158"/>
            <wp:effectExtent b="0" l="0" r="0" t="0"/>
            <wp:docPr descr="图 1　剂量-效应曲线与似然剖面。（A）各组观察死亡率（点，误差线为 Clopper–Pearson 精确 95% 可信区间）与 Probit、Logit 拟合曲线，横轴为对数刻度，虚线示死亡率 50% 与 Probit 的 LD50；（B）两个模型 LD50 的似然剖面，水平虚线为 χ²₁ 的 95% 界值 3.841，与剖面曲线的交点即 95% 可信区间。各剂量组 n = 22。" title="" id="28" name="Picture"/>
            <a:graphic>
              <a:graphicData uri="http://schemas.openxmlformats.org/drawingml/2006/picture">
                <pic:pic>
                  <pic:nvPicPr>
                    <pic:cNvPr descr="figures/fig1_doserespons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241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图 1</w:t>
      </w:r>
      <w:r>
        <w:t xml:space="preserve">　剂量-效应曲线与似然剖面。（A）各组观察死亡率（点，误差线为 Clopper–Pearson 精确 95% 可信区间）与 Probit、Logit 拟合曲线，横轴为对数刻度，虚线示死亡率 50% 与 Probit 的 LD50；（B）两个模型 LD50 的似然剖面，水平虚线为 χ²₁ 的 95% 界值 3.841，与剖面曲线的交点即 95% 可信区间。各剂量组 n = 22。</w:t>
      </w:r>
    </w:p>
    <w:bookmarkEnd w:id="30"/>
    <w:bookmarkStart w:id="31" w:name="剂量死亡曲线的陡度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剂量–死亡曲线的陡度</w:t>
      </w:r>
    </w:p>
    <w:p>
      <w:pPr>
        <w:pStyle w:val="FirstParagraph"/>
      </w:pPr>
      <w:r>
        <w:t xml:space="preserve">由 Probit 模型得到 LD10 = 151.51 mg/kg，LD90 = 246.10 mg/kg，LD90/LD10 = 1.62，即死亡率由 10% 升至 90% 只需剂量增加约 62%，曲线较陡。主要 LDq 见表 3。</w:t>
      </w:r>
    </w:p>
    <w:p>
      <w:pPr>
        <w:pStyle w:val="BodyText"/>
      </w:pPr>
      <w:r>
        <w:rPr>
          <w:bCs/>
          <w:b/>
        </w:rPr>
        <w:t xml:space="preserve">表 3　Probit 模型的 LDq 估计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000000"/>
          <w:bottom w:val="single" w:sz="12" w:space="0" w:color="000000"/>
        </w:tblBorders>
        <w:tblCellMar>
          <w:top w:w="40" w:type="dxa"/>
          <w:bottom w:w="40" w:type="dxa"/>
          <w:left w:w="8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b/>
                <w:sz w:val="21"/>
              </w:rPr>
              <w:t xml:space="preserve">指标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b/>
                <w:sz w:val="21"/>
              </w:rPr>
              <w:t xml:space="preserve">估计（mg/kg）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b/>
                <w:sz w:val="21"/>
              </w:rPr>
              <w:t xml:space="preserve">95% 可信区间（mg/kg）</w:t>
            </w:r>
          </w:p>
        </w:tc>
      </w:tr>
      <w:tr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LD05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141.45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120.70～158.46</w:t>
            </w:r>
          </w:p>
        </w:tc>
      </w:tr>
      <w:tr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LD10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151.51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132.51～167.22</w:t>
            </w:r>
          </w:p>
        </w:tc>
      </w:tr>
      <w:tr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LD25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169.96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154.03～183.91</w:t>
            </w:r>
          </w:p>
        </w:tc>
      </w:tr>
      <w:tr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LD50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193.10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179.16～207.79</w:t>
            </w:r>
          </w:p>
        </w:tc>
      </w:tr>
      <w:tr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LD75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219.39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203.29～240.97</w:t>
            </w:r>
          </w:p>
        </w:tc>
      </w:tr>
      <w:tr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LD90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246.10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224.20～279.80</w:t>
            </w:r>
          </w:p>
        </w:tc>
      </w:tr>
      <w:tr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LD95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263.61</w:t>
            </w:r>
          </w:p>
        </w:tc>
        <w:tc>
          <w:tcPr/>
          <w:p>
            <w:pPr>
              <w:pStyle w:val="Compact"/>
              <w:spacing w:before="20" w:after="20" w:line="288" w:lineRule="auto"/>
              <w:ind w:firstLine="0"/>
              <w:jc w:val="center"/>
            </w:pPr>
            <w:r>
              <w:rPr>
                <w:sz w:val="21"/>
              </w:rPr>
              <w:t xml:space="preserve">236.82～307.08</w:t>
            </w:r>
          </w:p>
        </w:tc>
      </w:tr>
    </w:tbl>
    <w:bookmarkEnd w:id="31"/>
    <w:bookmarkStart w:id="35" w:name="拟合优度与稳健性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拟合优度与稳健性</w:t>
      </w:r>
    </w:p>
    <w:p>
      <w:pPr>
        <w:pStyle w:val="FirstParagraph"/>
      </w:pPr>
      <w:r>
        <w:t xml:space="preserve">Probit 模型的偏差为 1.859（df = 3，P = 0.602），Pearson 残差在 −0.81～0.90 之间（图 2A）；参数 bootstrap 3 000 次，观察偏差落在其分布的中部（P = 0.311，图 2B）。留一剂量组分析中，去掉第 1、5 组对 LD50 几乎无影响（192.88、193.18 mg/kg），去掉第 2、4 组使估计降至约 187.4 mg/kg，去掉第 3 组（196.9 mg/kg）使估计升至 203.50 mg/kg，变化 10.40 mg/kg，为影响最大的一组（图 2C）。</w:t>
      </w:r>
    </w:p>
    <w:p>
      <w:pPr>
        <w:pStyle w:val="CaptionedFigure"/>
      </w:pPr>
      <w:r>
        <w:drawing>
          <wp:inline>
            <wp:extent cx="5397500" cy="2482443"/>
            <wp:effectExtent b="0" l="0" r="0" t="0"/>
            <wp:docPr descr="图 2　拟合优度与稳健性。（A）Probit 模型的 Pearson 残差；（B）参数 bootstrap（3 000 次）的偏差分布，竖线为观察偏差 1.86；（C）逐一去掉一个剂量组后的 LD50，虚线为全部数据的估计 193.10 mg/kg。" title="" id="33" name="Picture"/>
            <a:graphic>
              <a:graphicData uri="http://schemas.openxmlformats.org/drawingml/2006/picture">
                <pic:pic>
                  <pic:nvPicPr>
                    <pic:cNvPr descr="figures/fig2_robustnes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24824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图 2</w:t>
      </w:r>
      <w:r>
        <w:t xml:space="preserve">　拟合优度与稳健性。（A）Probit 模型的 Pearson 残差；（B）参数 bootstrap（3 000 次）的偏差分布，竖线为观察偏差 1.86；（C）逐一去掉一个剂量组后的 LD50，虚线为全部数据的估计 193.10 mg/kg。</w:t>
      </w:r>
    </w:p>
    <w:bookmarkEnd w:id="35"/>
    <w:bookmarkEnd w:id="36"/>
    <w:bookmarkStart w:id="37" w:name="讨论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讨论</w:t>
      </w:r>
    </w:p>
    <w:p>
      <w:pPr>
        <w:pStyle w:val="FirstParagraph"/>
      </w:pPr>
      <w:r>
        <w:rPr>
          <w:bCs/>
          <w:b/>
        </w:rPr>
        <w:t xml:space="preserve">三种方法结论一致。</w:t>
      </w:r>
      <w:r>
        <w:t xml:space="preserve"> </w:t>
      </w:r>
      <w:r>
        <w:t xml:space="preserve">教材的改良寇氏法与两个二项模型给出的 LD50 相差不到 1%，且可信区间重叠，说明本批数据的 LD50 估计并不依赖于方法选择。Probit 与 Logit 的 AIC 仅差 0.078，没有证据表明其中一个明显更好；教材指出 Bliss 法（概率单位正规法）最为严谨[1]，本实验的 Probit 拟合在思路上与之相近，但未采用权重迭代和概率单位表，细节不尽相同。</w:t>
      </w:r>
    </w:p>
    <w:p>
      <w:pPr>
        <w:pStyle w:val="BodyText"/>
      </w:pPr>
      <w:r>
        <w:rPr>
          <w:bCs/>
          <w:b/>
        </w:rPr>
        <w:t xml:space="preserve">拟合未见明显偏离，但检验力有限。</w:t>
      </w:r>
      <w:r>
        <w:t xml:space="preserve"> </w:t>
      </w:r>
      <w:r>
        <w:t xml:space="preserve">偏差检验和 bootstrap 均未提示模型不适合；但仅有 5 个剂量组，其中只有 3 组处于 0 与 100% 之间，模型的斜率主要由这三组决定，故“未见偏离”不等于“模型一定正确”。留一分析显示 196.9 mg/kg 组（14/22）对估计影响最大，这是合理的：该组最靠近 50%，信息量最大；而若该组的死亡数因个体差异或给药误差偏离，LD50 估计可相应移动约 10 mg/kg。</w:t>
      </w:r>
    </w:p>
    <w:p>
      <w:pPr>
        <w:pStyle w:val="BodyText"/>
      </w:pPr>
      <w:r>
        <w:rPr>
          <w:bCs/>
          <w:b/>
        </w:rPr>
        <w:t xml:space="preserve">可信区间的含义与局限。</w:t>
      </w:r>
      <w:r>
        <w:t xml:space="preserve"> </w:t>
      </w:r>
      <w:r>
        <w:t xml:space="preserve">上述区间假定各动物独立、各组死亡数服从二项分布；全班汇总意味着不同操作者、不同鼠批次和不同给药细节被混在一起，组内可能存在比二项分布更大的变异（过度离散）。本数据 bootstrap 检验未提示这一问题，但这并不能排除。另外，剂量按体重折算，用固定容积（0.1 mL/10 g）时给药体积的小误差会直接转化为剂量误差；腹腔注射漏液同样会使实际剂量偏低[1]。</w:t>
      </w:r>
    </w:p>
    <w:p>
      <w:pPr>
        <w:pStyle w:val="BodyText"/>
      </w:pPr>
      <w:r>
        <w:rPr>
          <w:bCs/>
          <w:b/>
        </w:rPr>
        <w:t xml:space="preserve">与急性毒性分阶段方法的关系。</w:t>
      </w:r>
      <w:r>
        <w:t xml:space="preserve"> </w:t>
      </w:r>
      <w:r>
        <w:t xml:space="preserve">本实验每个剂量用 22 只动物，目的在于得到较精确的 LD50 与可信限；若仅需估计急性毒性的范围，可采用动物数更少的分阶段方法[2]，与教材方法对照阅读有助于理解不同目的下的动物数选择。</w:t>
      </w:r>
    </w:p>
    <w:p>
      <w:pPr>
        <w:pStyle w:val="BodyText"/>
      </w:pPr>
      <w:r>
        <w:rPr>
          <w:bCs/>
          <w:b/>
        </w:rPr>
        <w:t xml:space="preserve">与治疗指数的衔接。</w:t>
      </w:r>
      <w:r>
        <w:t xml:space="preserve"> </w:t>
      </w:r>
      <w:r>
        <w:t xml:space="preserve">LD50 本身只反映急性毒性，评价药物安全性还需与 ED50 比较（治疗指数 = LD50/ED50）；当有效与致死的量–效曲线不平行时，治疗指数不能准确反映两端的差距，应改用安全范围（LD5/ED95）评价[1]。本实验的曲线陡度（LD90/LD10 = 1.62）可作为后者的输入之一。</w:t>
      </w:r>
    </w:p>
    <w:bookmarkEnd w:id="37"/>
    <w:bookmarkStart w:id="38" w:name="结论"/>
    <w:p>
      <w:pPr>
        <w:pStyle w:val="Heading1"/>
      </w:pPr>
      <w:r>
        <w:t xml:space="preserve">结论</w:t>
      </w:r>
    </w:p>
    <w:p>
      <w:pPr>
        <w:pStyle w:val="FirstParagraph"/>
      </w:pPr>
      <w:r>
        <w:t xml:space="preserve">（1）盐酸普鲁卡因小鼠腹腔注射的 LD50 为 191.85 mg/kg（改良寇氏法，95% 可信限 178.25～206.48 mg/kg）；Probit 与 Logit 模型分别为 193.10 与 191.92 mg/kg，三者一致，约 192 mg/kg。</w:t>
      </w:r>
    </w:p>
    <w:p>
      <w:pPr>
        <w:pStyle w:val="BodyText"/>
      </w:pPr>
      <w:r>
        <w:t xml:space="preserve">（2）拟合优度检验未提示模型不适合；LD50 对剂量组的取舍较敏感，以 196.9 mg/kg 组影响最大（最大变化 10.4 mg/kg），结论应结合可信区间解释。</w:t>
      </w:r>
    </w:p>
    <w:bookmarkEnd w:id="38"/>
    <w:bookmarkStart w:id="39" w:name="参考文献"/>
    <w:p>
      <w:pPr>
        <w:pStyle w:val="Heading1"/>
      </w:pPr>
      <w:r>
        <w:t xml:space="preserve">参考文献</w:t>
      </w:r>
    </w:p>
    <w:p>
      <w:pPr>
        <w:pStyle w:val="FirstParagraph"/>
      </w:pPr>
      <w:r>
        <w:t xml:space="preserve">[1] 严钰锋，马淑兰. 功能学科实验教程[M]. 2020: 173-175.</w:t>
      </w:r>
    </w:p>
    <w:p>
      <w:pPr>
        <w:pStyle w:val="BodyText"/>
      </w:pPr>
      <w:r>
        <w:t xml:space="preserve">[2] LORKE D. A new approach to practical acute toxicity testing[J]. Archives of Toxicology, 1983, 54(4): 275-287. DOI: 10.1007/BF01234480.</w:t>
      </w:r>
    </w:p>
    <w:bookmarkEnd w:id="39"/>
    <w:bookmarkStart w:id="40" w:name="附录-可复现命令"/>
    <w:p>
      <w:pPr>
        <w:pStyle w:val="Heading1"/>
      </w:pPr>
      <w:r>
        <w:t xml:space="preserve">附录　可复现命令</w:t>
      </w:r>
    </w:p>
    <w:p>
      <w:pPr>
        <w:pStyle w:val="FirstParagraph"/>
      </w:pPr>
      <w:r>
        <w:t xml:space="preserve">本报告中的计算、统计与作图全部由下列命令生成（均在仓库根目录运行）：</w:t>
      </w:r>
    </w:p>
    <w:p>
      <w:pPr>
        <w:pStyle w:val="SourceCode"/>
      </w:pPr>
      <w:r>
        <w:rPr>
          <w:rStyle w:val="VerbatimChar"/>
        </w:rPr>
        <w:t xml:space="preserve">python tools/rag.py search 半数致死量 改良寇氏法 --exp 8.1 -c expr          # 课本术语与句式</w:t>
      </w:r>
      <w:r>
        <w:br/>
      </w:r>
      <w:r>
        <w:rPr>
          <w:rStyle w:val="VerbatimChar"/>
        </w:rPr>
        <w:t xml:space="preserve">python tools/rag.py search 急性毒性 LD50 -c literature                       # 文献</w:t>
      </w:r>
      <w:r>
        <w:br/>
      </w:r>
      <w:r>
        <w:rPr>
          <w:rStyle w:val="VerbatimChar"/>
        </w:rPr>
        <w:t xml:space="preserve">python tools/labcalc.py ld50 --doses 110.8 147.7 196.9 262.5 350 --n 22 --deaths 0 1 14 20 22</w:t>
      </w:r>
      <w:r>
        <w:br/>
      </w:r>
      <w:r>
        <w:rPr>
          <w:rStyle w:val="VerbatimChar"/>
        </w:rPr>
        <w:t xml:space="preserve">python tools/labdose.py --dose 110.8 147.7 196.9 262.5 350 --n 22 --deaths 0 1 14 20 22 \</w:t>
      </w:r>
      <w:r>
        <w:br/>
      </w:r>
      <w:r>
        <w:rPr>
          <w:rStyle w:val="VerbatimChar"/>
        </w:rPr>
        <w:t xml:space="preserve">       --ref 200 --figs examples/sample-report/figures</w:t>
      </w:r>
      <w:r>
        <w:br/>
      </w:r>
      <w:r>
        <w:rPr>
          <w:rStyle w:val="VerbatimChar"/>
        </w:rPr>
        <w:t xml:space="preserve">python tools/stylecheck.py examples/sample-report/report.md --exp 8.1        # 语言检查</w:t>
      </w:r>
      <w:r>
        <w:br/>
      </w:r>
      <w:r>
        <w:rPr>
          <w:rStyle w:val="VerbatimChar"/>
        </w:rPr>
        <w:t xml:space="preserve">python tools/refcheck.py examples/sample-report/report.md --offline          # 文献核对</w:t>
      </w:r>
      <w:r>
        <w:br/>
      </w:r>
      <w:r>
        <w:rPr>
          <w:rStyle w:val="VerbatimChar"/>
        </w:rPr>
        <w:t xml:space="preserve">python tools/build.py examples/sample-report/report.md --to all               # 出稿</w:t>
      </w:r>
    </w:p>
    <w:p>
      <w:pPr>
        <w:pStyle w:val="BlockText"/>
      </w:pPr>
      <w:r>
        <w:rPr>
          <w:bCs/>
          <w:b/>
        </w:rPr>
        <w:t xml:space="preserve">AI 使用说明</w:t>
      </w:r>
      <w:r>
        <w:t xml:space="preserve">　本示例用于演示 fdu-lab 工具链：LD50 及置信区间、模型拟合、稳健性分析与作图由 tools/labdose.py、labplot 风格模块完成，措辞经 tools/rag.py 对照教材检索并用 tools/stylecheck.py 检查，参考文献经 tools/refcheck.py 核对。数据取自作者所在班级的汇总结果（经改编），仅供演示。</w:t>
      </w:r>
    </w:p>
    <w:bookmarkEnd w:id="40"/>
    <w:sectPr>
      <w:headerReference r:id="rId9" w:type="default"/>
      <w:footerReference r:id="rId10" w:type="default"/>
      <w:pgSz w:h="16838" w:w="11906"/>
      <w:pgMar w:bottom="1440" w:footer="737" w:header="737" w:left="1701" w:right="1701" w:top="144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000000"/>
        <w:sz w:val="21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8504" w:val="right"/>
      </w:tabs>
      <w:ind w:firstLine="0"/>
      <w:jc w:val="left"/>
      <w:pBdr>
        <w:bottom w:val="single" w:sz="6" w:space="4" w:color="5F7568"/>
      </w:pBdr>
    </w:pPr>
    <w:r>
      <w:drawing>
        <wp:inline xmlns:a="http://schemas.openxmlformats.org/drawingml/2006/main" xmlns:pic="http://schemas.openxmlformats.org/drawingml/2006/picture">
          <wp:extent cx="389032" cy="18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mouse_icon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9032" cy="180000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/>
    <w:r>
      <w:rPr>
        <w:rFonts w:ascii="Times New Roman" w:hAnsi="Times New Roman" w:cs="Times New Roman" w:eastAsia="宋体"/>
        <w:color w:val="59606A"/>
        <w:sz w:val="18"/>
      </w:rPr>
      <w:t>功能学科综合实验实验报告</w:t>
    </w:r>
    <w:r>
      <w:rPr>
        <w:rFonts w:ascii="Times New Roman" w:hAnsi="Times New Roman" w:cs="Times New Roman" w:eastAsia="宋体"/>
        <w:color w:val="59606A"/>
        <w:sz w:val="18"/>
      </w:rPr>
      <w:tab/>
    </w:r>
    <w:r>
      <w:rPr>
        <w:rFonts w:ascii="Times New Roman" w:hAnsi="Times New Roman" w:cs="Times New Roman" w:eastAsia="宋体"/>
        <w:color w:val="59606A"/>
        <w:sz w:val="18"/>
      </w:rPr>
      <w:t>00000000000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keepNext w:val="0"/>
      <w:spacing w:after="0" w:before="0" w:line="360" w:lineRule="auto"/>
    </w:pPr>
    <w:rPr>
      <w:rFonts w:ascii="Times New Roman" w:cs="Times New Roman" w:eastAsia="宋体" w:hAnsi="Times New Roman"/>
      <w:b w:val="0"/>
      <w:i w:val="0"/>
      <w:sz w:val="24"/>
    </w:rPr>
  </w:style>
  <w:style w:styleId="BodyText" w:type="paragraph">
    <w:name w:val="Body Text"/>
    <w:basedOn w:val="Normal"/>
    <w:link w:val="BodyTextChar"/>
    <w:pPr>
      <w:keepNext w:val="0"/>
      <w:spacing w:after="0" w:before="0" w:line="360" w:lineRule="auto"/>
      <w:ind w:firstLine="480"/>
    </w:pPr>
    <w:qFormat/>
    <w:rPr>
      <w:rFonts w:ascii="Times New Roman" w:cs="Times New Roman" w:eastAsia="宋体" w:hAnsi="Times New Roman"/>
      <w:b w:val="0"/>
      <w:i w:val="0"/>
      <w:sz w:val="24"/>
    </w:rPr>
  </w:style>
  <w:style w:customStyle="1" w:styleId="FirstParagraph" w:type="paragraph">
    <w:name w:val="First Paragraph"/>
    <w:basedOn w:val="BodyText"/>
    <w:next w:val="BodyText"/>
    <w:qFormat/>
    <w:pPr>
      <w:keepNext w:val="0"/>
      <w:spacing w:after="0" w:before="0" w:line="360" w:lineRule="auto"/>
      <w:ind w:firstLine="480"/>
    </w:pPr>
    <w:rPr>
      <w:rFonts w:ascii="Times New Roman" w:cs="Times New Roman" w:eastAsia="宋体" w:hAnsi="Times New Roman"/>
      <w:b w:val="0"/>
      <w:i w:val="0"/>
      <w:sz w:val="24"/>
    </w:rPr>
  </w:style>
  <w:style w:customStyle="1" w:styleId="Compact" w:type="paragraph">
    <w:name w:val="Compact"/>
    <w:basedOn w:val="BodyText"/>
    <w:qFormat/>
    <w:pPr>
      <w:keepNext w:val="0"/>
      <w:spacing w:after="0" w:before="0" w:line="336" w:lineRule="auto"/>
      <w:ind w:firstLine="0"/>
    </w:pPr>
    <w:rPr>
      <w:rFonts w:ascii="Times New Roman" w:cs="Times New Roman" w:eastAsia="宋体" w:hAnsi="Times New Roman"/>
      <w:b w:val="0"/>
      <w:i w:val="0"/>
      <w:sz w:val="24"/>
    </w:rPr>
  </w:style>
  <w:style w:styleId="Title" w:type="paragraph">
    <w:name w:val="Title"/>
    <w:basedOn w:val="Normal"/>
    <w:next w:val="BodyText"/>
    <w:qFormat/>
    <w:pPr>
      <w:keepNext w:val="0"/>
      <w:keepLines/>
      <w:spacing w:after="120" w:before="0" w:line="312" w:lineRule="auto"/>
      <w:jc w:val="center"/>
    </w:pPr>
    <w:rPr>
      <w:rFonts w:ascii="Times New Roman" w:cs="Times New Roman" w:eastAsia="黑体" w:hAnsi="Times New Roman"/>
      <w:b/>
      <w:bCs/>
      <w:i w:val="0"/>
      <w:color w:val="000000"/>
      <w:sz w:val="44"/>
      <w:szCs w:val="36"/>
    </w:rPr>
  </w:style>
  <w:style w:styleId="Subtitle" w:type="paragraph">
    <w:name w:val="Subtitle"/>
    <w:basedOn w:val="Title"/>
    <w:next w:val="BodyText"/>
    <w:qFormat/>
    <w:pPr>
      <w:keepNext w:val="0"/>
      <w:keepLines/>
      <w:spacing w:after="40" w:before="0" w:line="312" w:lineRule="auto"/>
      <w:jc w:val="center"/>
    </w:pPr>
    <w:rPr>
      <w:rFonts w:ascii="Times New Roman" w:cs="Times New Roman" w:eastAsia="楷体" w:hAnsi="Times New Roman"/>
      <w:b w:val="0"/>
      <w:i w:val="0"/>
      <w:color w:val="59606A"/>
      <w:sz w:val="28"/>
      <w:szCs w:val="30"/>
    </w:rPr>
  </w:style>
  <w:style w:customStyle="1" w:styleId="Author" w:type="paragraph">
    <w:name w:val="Author"/>
    <w:next w:val="BodyText"/>
    <w:qFormat/>
    <w:pPr>
      <w:keepNext w:val="0"/>
      <w:keepLines/>
      <w:spacing w:after="0" w:before="0" w:line="312" w:lineRule="auto"/>
      <w:jc w:val="center"/>
    </w:pPr>
    <w:rPr>
      <w:rFonts w:ascii="Times New Roman" w:cs="Times New Roman" w:eastAsia="宋体" w:hAnsi="Times New Roman"/>
      <w:b w:val="0"/>
      <w:i w:val="0"/>
      <w:color w:val="000000"/>
      <w:sz w:val="24"/>
    </w:rPr>
  </w:style>
  <w:style w:styleId="Date" w:type="paragraph">
    <w:name w:val="Date"/>
    <w:next w:val="BodyText"/>
    <w:qFormat/>
    <w:pPr>
      <w:keepNext w:val="0"/>
      <w:keepLines/>
      <w:spacing w:after="0" w:before="0" w:line="312" w:lineRule="auto"/>
      <w:jc w:val="center"/>
    </w:pPr>
    <w:rPr>
      <w:rFonts w:ascii="Times New Roman" w:cs="Times New Roman" w:eastAsia="宋体" w:hAnsi="Times New Roman"/>
      <w:b w:val="0"/>
      <w:i w:val="0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 w:val="0"/>
      <w:keepLines/>
      <w:spacing w:after="0" w:before="0" w:line="360" w:lineRule="auto"/>
      <w:ind w:firstLine="480"/>
    </w:pPr>
    <w:rPr>
      <w:rFonts w:ascii="Times New Roman" w:cs="Times New Roman" w:eastAsia="宋体" w:hAnsi="Times New Roman"/>
      <w:b w:val="0"/>
      <w:i w:val="0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keepNext w:val="0"/>
      <w:spacing w:after="40" w:before="0" w:line="312" w:lineRule="auto"/>
      <w:ind w:hanging="420" w:left="420"/>
    </w:pPr>
    <w:rPr>
      <w:rFonts w:ascii="Times New Roman" w:cs="Times New Roman" w:eastAsia="宋体" w:hAnsi="Times New Roman"/>
      <w:b w:val="0"/>
      <w:i w:val="0"/>
      <w:sz w:val="21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keepNext w:val="0"/>
      <w:spacing w:after="60" w:before="60" w:line="312" w:lineRule="auto"/>
      <w:ind w:firstLine="0" w:left="283" w:right="170"/>
      <w:pBdr>
        <w:left w:color="5F7568" w:space="8" w:sz="18" w:val="single"/>
      </w:pBdr>
      <w:shd w:color="auto" w:fill="F2F5F3" w:val="clear"/>
    </w:pPr>
    <w:rPr>
      <w:rFonts w:ascii="Times New Roman" w:cs="Times New Roman" w:eastAsia="楷体" w:hAnsi="Times New Roman"/>
      <w:b w:val="0"/>
      <w:i w:val="0"/>
      <w:color w:val="59606A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 w:val="0"/>
      <w:spacing w:after="80" w:before="80" w:line="288" w:lineRule="auto"/>
      <w:ind w:firstLine="0"/>
      <w:jc w:val="center"/>
    </w:pPr>
    <w:rPr>
      <w:rFonts w:ascii="Times New Roman" w:cs="Times New Roman" w:eastAsia="宋体" w:hAnsi="Times New Roman"/>
      <w:b w:val="0"/>
      <w:i w:val="0"/>
      <w:color w:val="000000"/>
      <w:sz w:val="21"/>
    </w:rPr>
  </w:style>
  <w:style w:customStyle="1" w:styleId="TableCaption" w:type="paragraph">
    <w:name w:val="Table Caption"/>
    <w:basedOn w:val="Caption"/>
    <w:pPr>
      <w:keepNext/>
      <w:spacing w:after="80" w:before="80" w:line="288" w:lineRule="auto"/>
      <w:ind w:firstLine="0"/>
      <w:jc w:val="center"/>
    </w:pPr>
    <w:rPr>
      <w:rFonts w:ascii="Times New Roman" w:cs="Times New Roman" w:eastAsia="宋体" w:hAnsi="Times New Roman"/>
      <w:b w:val="0"/>
      <w:i w:val="0"/>
      <w:color w:val="000000"/>
      <w:sz w:val="21"/>
    </w:rPr>
  </w:style>
  <w:style w:customStyle="1" w:styleId="ImageCaption" w:type="paragraph">
    <w:name w:val="Image Caption"/>
    <w:basedOn w:val="Caption"/>
    <w:pPr>
      <w:keepNext w:val="0"/>
      <w:spacing w:after="80" w:before="80" w:line="288" w:lineRule="auto"/>
      <w:ind w:firstLine="0"/>
      <w:jc w:val="center"/>
    </w:pPr>
    <w:rPr>
      <w:rFonts w:ascii="Times New Roman" w:cs="Times New Roman" w:eastAsia="宋体" w:hAnsi="Times New Roman"/>
      <w:b w:val="0"/>
      <w:i w:val="0"/>
      <w:color w:val="000000"/>
      <w:sz w:val="21"/>
    </w:rPr>
  </w:style>
  <w:style w:customStyle="1" w:styleId="Figure" w:type="paragraph">
    <w:name w:val="Figure"/>
    <w:basedOn w:val="Normal"/>
    <w:pPr>
      <w:keepNext/>
      <w:spacing w:after="0" w:before="80" w:line="240" w:lineRule="auto"/>
      <w:ind w:firstLine="0"/>
      <w:jc w:val="center"/>
    </w:pPr>
    <w:rPr>
      <w:rFonts w:ascii="Times New Roman" w:cs="Times New Roman" w:eastAsia="宋体" w:hAnsi="Times New Roman"/>
      <w:b w:val="0"/>
      <w:i w:val="0"/>
      <w:sz w:val="24"/>
    </w:rPr>
  </w:style>
  <w:style w:customStyle="1" w:styleId="CaptionedFigure" w:type="paragraph">
    <w:name w:val="Captioned Figure"/>
    <w:basedOn w:val="Figure"/>
    <w:pPr>
      <w:keepNext/>
      <w:spacing w:after="0" w:before="80" w:line="240" w:lineRule="auto"/>
      <w:ind w:firstLine="0"/>
      <w:jc w:val="center"/>
    </w:pPr>
    <w:rPr>
      <w:rFonts w:ascii="Times New Roman" w:cs="Times New Roman" w:eastAsia="宋体" w:hAnsi="Times New Roman"/>
      <w:b w:val="0"/>
      <w:i w:val="0"/>
      <w:sz w:val="24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宋体" w:hAnsi="Consolas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 w:val="0"/>
      <w:spacing w:after="240" w:before="0" w:line="288" w:lineRule="auto"/>
      <w:ind w:firstLine="0"/>
      <w:jc w:val="center"/>
      <w:outlineLvl w:val="9"/>
    </w:pPr>
    <w:rPr>
      <w:rFonts w:ascii="Times New Roman" w:cs="Times New Roman" w:eastAsia="黑体" w:hAnsi="Times New Roman"/>
      <w:b/>
      <w:bCs w:val="0"/>
      <w:i w:val="0"/>
      <w:color w:val="000000"/>
      <w:sz w:val="32"/>
    </w:rPr>
  </w:style>
  <w:style w:customStyle="1" w:styleId="Heading1" w:type="paragraph">
    <w:name w:val="heading 1"/>
    <w:basedOn w:val="Normal"/>
    <w:pPr>
      <w:keepNext/>
      <w:spacing w:after="160" w:before="360" w:line="288" w:lineRule="auto"/>
    </w:pPr>
    <w:rPr>
      <w:rFonts w:ascii="Times New Roman" w:cs="Times New Roman" w:eastAsia="黑体" w:hAnsi="Times New Roman"/>
      <w:b/>
      <w:i w:val="0"/>
      <w:color w:val="000000"/>
      <w:sz w:val="32"/>
    </w:rPr>
  </w:style>
  <w:style w:customStyle="1" w:styleId="Heading2" w:type="paragraph">
    <w:name w:val="heading 2"/>
    <w:basedOn w:val="Normal"/>
    <w:pPr>
      <w:keepNext/>
      <w:spacing w:after="120" w:before="240" w:line="288" w:lineRule="auto"/>
    </w:pPr>
    <w:rPr>
      <w:rFonts w:ascii="Times New Roman" w:cs="Times New Roman" w:eastAsia="黑体" w:hAnsi="Times New Roman"/>
      <w:b/>
      <w:i w:val="0"/>
      <w:color w:val="000000"/>
      <w:sz w:val="28"/>
    </w:rPr>
  </w:style>
  <w:style w:customStyle="1" w:styleId="Heading3" w:type="paragraph">
    <w:name w:val="heading 3"/>
    <w:basedOn w:val="Normal"/>
    <w:pPr>
      <w:keepNext/>
      <w:spacing w:after="80" w:before="160" w:line="288" w:lineRule="auto"/>
    </w:pPr>
    <w:rPr>
      <w:rFonts w:ascii="Times New Roman" w:cs="Times New Roman" w:eastAsia="黑体" w:hAnsi="Times New Roman"/>
      <w:b/>
      <w:i w:val="0"/>
      <w:color w:val="000000"/>
      <w:sz w:val="24"/>
    </w:rPr>
  </w:style>
  <w:style w:customStyle="1" w:styleId="Heading4" w:type="paragraph">
    <w:name w:val="heading 4"/>
    <w:basedOn w:val="Normal"/>
    <w:pPr>
      <w:keepNext/>
      <w:spacing w:after="40" w:before="120" w:line="288" w:lineRule="auto"/>
    </w:pPr>
    <w:rPr>
      <w:rFonts w:ascii="Times New Roman" w:cs="Times New Roman" w:eastAsia="黑体" w:hAnsi="Times New Roman"/>
      <w:b w:val="0"/>
      <w:i w:val="0"/>
      <w:color w:val="000000"/>
      <w:sz w:val="24"/>
    </w:rPr>
  </w:style>
  <w:style w:customStyle="1" w:styleId="ReportTitle" w:type="paragraph">
    <w:name w:val="ReportTitle"/>
    <w:basedOn w:val="Normal"/>
    <w:pPr>
      <w:keepNext w:val="0"/>
      <w:spacing w:after="120" w:before="0" w:line="300" w:lineRule="auto"/>
      <w:ind w:firstLine="0"/>
      <w:jc w:val="center"/>
    </w:pPr>
    <w:rPr>
      <w:rFonts w:ascii="Times New Roman" w:cs="Times New Roman" w:eastAsia="黑体" w:hAnsi="Times New Roman"/>
      <w:b/>
      <w:i w:val="0"/>
      <w:color w:val="000000"/>
      <w:sz w:val="44"/>
    </w:rPr>
  </w:style>
  <w:style w:customStyle="1" w:styleId="ReportMeta" w:type="paragraph">
    <w:name w:val="ReportMeta"/>
    <w:basedOn w:val="Normal"/>
    <w:pPr>
      <w:keepNext w:val="0"/>
      <w:spacing w:after="0" w:before="0" w:line="336" w:lineRule="auto"/>
      <w:ind w:firstLine="0"/>
      <w:jc w:val="center"/>
    </w:pPr>
    <w:rPr>
      <w:rFonts w:ascii="Times New Roman" w:cs="Times New Roman" w:eastAsia="楷体" w:hAnsi="Times New Roman"/>
      <w:b w:val="0"/>
      <w:i w:val="0"/>
      <w:color w:val="59606A"/>
      <w:sz w:val="2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7" Type="http://schemas.openxmlformats.org/officeDocument/2006/relationships/image" Target="media/rId27.png"/><Relationship Id="rId32" Type="http://schemas.openxmlformats.org/officeDocument/2006/relationships/image" Target="media/rId32.png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药物半数致死量（LD50）的测定实验报告（示例）</dc:title>
  <dc:creator>示例同学</dc:creator>
  <cp:keywords/>
  <dcterms:created xsi:type="dcterms:W3CDTF">2026-10-28T17:43:47Z</dcterms:created>
  <dcterms:modified xsi:type="dcterms:W3CDTF">2026-10-28T17:43:47Z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目 录</vt:lpwstr>
  </property>
</Properties>
</file>