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858" w:rsidRPr="001D1D71" w:rsidRDefault="000F3858" w:rsidP="000F3858">
      <w:pPr>
        <w:pStyle w:val="heading1"/>
        <w:spacing w:line="240" w:lineRule="auto"/>
        <w:rPr>
          <w:rFonts w:ascii="Times New Roman" w:hAnsi="Times New Roman"/>
          <w:lang w:val="en-AU"/>
        </w:rPr>
      </w:pPr>
      <w:r w:rsidRPr="001D1D71">
        <w:rPr>
          <w:rFonts w:ascii="Times New Roman" w:hAnsi="Times New Roman"/>
          <w:lang w:val="en-AU"/>
        </w:rPr>
        <w:t>Supplementary Information</w:t>
      </w:r>
    </w:p>
    <w:p w:rsidR="000F3858" w:rsidRPr="001D1D71" w:rsidRDefault="000F3858" w:rsidP="000F3858">
      <w:pPr>
        <w:spacing w:line="240" w:lineRule="auto"/>
        <w:rPr>
          <w:sz w:val="22"/>
          <w:szCs w:val="22"/>
          <w:lang w:val="en-AU"/>
        </w:rPr>
      </w:pPr>
      <w:r w:rsidRPr="001D1D71">
        <w:rPr>
          <w:sz w:val="22"/>
          <w:szCs w:val="22"/>
          <w:lang w:val="en-AU"/>
        </w:rPr>
        <w:t>Table S1. Papers used in fertilisation and survivorship analysis</w:t>
      </w:r>
      <w:r>
        <w:rPr>
          <w:sz w:val="22"/>
          <w:szCs w:val="22"/>
          <w:lang w:val="en-AU"/>
        </w:rPr>
        <w:t>.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2410"/>
        <w:gridCol w:w="1701"/>
        <w:gridCol w:w="1559"/>
        <w:gridCol w:w="1843"/>
        <w:gridCol w:w="3260"/>
      </w:tblGrid>
      <w:tr w:rsidR="000F3858" w:rsidRPr="001D1D71" w:rsidTr="00D421C7">
        <w:trPr>
          <w:trHeight w:val="625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Author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Year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Paper Title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Species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Factor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Life History Stage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 xml:space="preserve">Common Environmental Source of Pollutant 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Baird, A. H., Gilmour, J. P.,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Kamiki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T. 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Nnaka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M., Pratchett, M. S., Yamamoto, H. H. and Yamasaki,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2006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tolerance of symbiotic and non-symbiotic coral larvae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muricata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Rising global temperature as a result of climate change (greenhouse effect)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Bassim, K. M. and Sammarco, P. W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Effects of temperature and ammonium on larval development and survivorship in a scleractinian coral (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Diploria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strigosa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)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Diploria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strigosa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and ammonium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– increase global temperatures from climate change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Ammonium – as run-off from agricultural activity (fertilisers, organic matter)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Chua, CM.,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Leggat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W., Moya, A. and Baird, A.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Near-future reduction in pH will have no consistent ecological effects on the early life-history stages of reef corals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tenuis, 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Acidification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atmospheric carbon dioxide from burning fossil fuels (climate change)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Chua, CM.,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Leggat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W., Moya, A. and Baird, A.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affects the early life history stages of corals more than near future ocean acidification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tenuis, 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Acidification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atmospheric carbon dioxide from burning fossil fuels (climate change)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Cox, E. F. and Ward, S.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2002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Impact of elevated ammonium on reproduction in two Hawaiian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Pocillopora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damicornis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Ammonium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Agricultural run-off from excessive use of fertilisers, untreated manure and organic matter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Erftemeijer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P. L. A., Hagedorn, 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Laterveer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Craggs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, J. and Guest, J. R.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2012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Effects of suspended sediment on fertilisation success in the scleractinian coral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Pectinia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lactuca</w:t>
            </w:r>
            <w:proofErr w:type="spellEnd"/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Pectnia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lactuca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Suspended sediment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urbanisation and agriculture has led to more run-off carrying sediment into the ocean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Farina, O., Ramos, R.,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Bastidas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C. and Garcia, E.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2008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Biohemical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reposne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of cnidarian larvae to mercury and benzo(a)pyrene exposure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Porites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astreoides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Mercury 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Sourced from industry in coal-fired plants and in sewerage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Gilmour, J.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1999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Experimental investigation into the effects of suspended sediment on fertilisation, larval survival and settlement in a scleractinian coral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digitfera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Suspended sediment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urbanisation and agriculture has led to more run-off carrying sediment into the ocean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Harrison, P. L. and Ward, S.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2001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Elevated levels of nitrogen and phosphorus reduce fertilisation success of gametes from scleractinian reef corals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longicyathus</w:t>
            </w:r>
            <w:proofErr w:type="spellEnd"/>
          </w:p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</w:p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Ammonium, phosphorous, ammonium and phosphorous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Agricultural run-off from fertilisers, manure and organic matter </w:t>
            </w:r>
          </w:p>
        </w:tc>
      </w:tr>
      <w:tr w:rsidR="00FF39C4" w:rsidRPr="001D1D71" w:rsidTr="00502B59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Hartman, A. C.,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Marhaver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K. L.,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Chamberland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V. F.,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Sandin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S. A. and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Vermeij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>, M. J. A.</w:t>
            </w:r>
          </w:p>
        </w:tc>
        <w:tc>
          <w:tcPr>
            <w:tcW w:w="992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Large birth size does not reduce negative latent effects of harsh environments across life stages in two coral species </w:t>
            </w:r>
          </w:p>
        </w:tc>
        <w:tc>
          <w:tcPr>
            <w:tcW w:w="1701" w:type="dxa"/>
          </w:tcPr>
          <w:p w:rsidR="00FF39C4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Montastraea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faveolata</w:t>
            </w:r>
            <w:proofErr w:type="spellEnd"/>
          </w:p>
          <w:p w:rsidR="00FF39C4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</w:p>
          <w:p w:rsidR="00FF39C4" w:rsidRPr="001D1D71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Agaricia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humilis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Salinity and temperature</w:t>
            </w:r>
          </w:p>
        </w:tc>
        <w:tc>
          <w:tcPr>
            <w:tcW w:w="1843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Survivorship </w:t>
            </w:r>
          </w:p>
        </w:tc>
        <w:tc>
          <w:tcPr>
            <w:tcW w:w="3260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Salinity -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freshwater influxes from increased storm occurrences as a result of climate change</w:t>
            </w:r>
          </w:p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Temperature -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Rising global temperature as a result of climate change (greenhouse effect)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Humphrey C., Weber, M., Lott, C., Cooper, T., Fabricius, K.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2008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Effects of suspended sediments, dissolved inorganic nutrients and salinity on fertilisation and embryo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 xml:space="preserve">development in the coral </w:t>
            </w: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lastRenderedPageBreak/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Sediment, salinity, nitrate and ammonium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Suspended sediment – increased run-off from urban areas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Salinity – increased freshwater influxes from increased storm occurrences as a result of climate change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 xml:space="preserve">Nitrates and ammonium – run-off from agriculture and the use of fertilisers 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 xml:space="preserve">Nakamura, M., Ohki, S., Suzuki, A. and Sakai, K.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2011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Coral Larvae under Ocean Acidification- Survival, Metabolism, and Metamorphosis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digitfera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Acidification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atmospheric carbon dioxide from burning fossil fuels (climate change)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Negri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A. P. and Heyward, A. J.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2001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Inhibition of coral fertilisation and larval metamorphosis by tributyltin and copper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and tributyltin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From their use in marine anti-fouling paints as well as from industry (smelters)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Randall, C. J. and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Szmant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, A. M.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2009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Elevated temperature reduces survivorship and settlement of the larvae of the Caribbean scleractinian coral,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Favia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fragum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(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Esper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)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Favia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fragum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Rising global temperature as a result of climate change (greenhouse effect)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Reichelt-Brushett, A.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J.and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Harrison, P. L.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1999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The Effect of Copper, Zinc and Cadmium on Fertilisation Success of Gametes from Scleractinian Reef Corals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Copper, zinc and cadmium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Copper – industrial uses in smelters, run-off from land waste and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anto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-fouling paint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Zinc – industrial uses in mining and the manufacture of zinc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Cadmium – manufacturing and use in disposable products (electronics) 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Reichelt-Brushett, A. J. and Harrison, P. L.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2004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Development of a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Sublethal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Test to Determine the Effects of Copper and Lead on Scleractinian Coral Larvae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and lead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– industrial uses in smelters and anti-fouling paints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Lead – extracted from gasoline, aerosols and smelters 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Reichelt-Brushett, A. J. and Harrison, P. L.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2005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The effect of selected trace metals on the fertilisation success of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several scleractinian coral species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lastRenderedPageBreak/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retiformis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</w:t>
            </w: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lastRenderedPageBreak/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tenius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longicyathus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Copper, cadmium, nickel, zinc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– industrial uses in smelters, run-off from land waste and anti-fouling paint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Cadmium – manufacturing and use in disposable products (electronics)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Nickel – combustion of coral and oil, sewerage, mining and steel manufacture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Zinc – industrial uses in mining and the manufacture of zinc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Scott, A., Harrison, P. L. and Brooks, L. O.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Reduced salinity decreases the fertilisation success and larval survival of two scleractinian coral species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Platygyra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daedalea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Salinity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 and 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freshwater influxes from increased storm occurrences as a result of climate change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</w:p>
        </w:tc>
      </w:tr>
      <w:tr w:rsidR="00FF39C4" w:rsidRPr="001D1D71" w:rsidTr="00502B59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Vermeij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M. J. A., Fogarty, N. D. and Miller, M. W. </w:t>
            </w:r>
          </w:p>
        </w:tc>
        <w:tc>
          <w:tcPr>
            <w:tcW w:w="992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2006</w:t>
            </w:r>
          </w:p>
        </w:tc>
        <w:tc>
          <w:tcPr>
            <w:tcW w:w="2410" w:type="dxa"/>
          </w:tcPr>
          <w:p w:rsidR="00FF39C4" w:rsidRPr="00881381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Pelagic conditions affect larval behaviour, survival and settlement patterns in the Caribbean coral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Montastraea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faveolata</w:t>
            </w:r>
            <w:proofErr w:type="spellEnd"/>
          </w:p>
        </w:tc>
        <w:tc>
          <w:tcPr>
            <w:tcW w:w="1701" w:type="dxa"/>
          </w:tcPr>
          <w:p w:rsidR="00FF39C4" w:rsidRPr="001D1D71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Montastraea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faveolata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Salinity</w:t>
            </w:r>
          </w:p>
        </w:tc>
        <w:tc>
          <w:tcPr>
            <w:tcW w:w="1843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freshwater influxes from increased storm occurrences as a result of climate change</w:t>
            </w:r>
          </w:p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Victor, S. and Richmond, R.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2005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Effect of copper on fertilisation success in the reef coral </w:t>
            </w: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surculosa</w:t>
            </w:r>
            <w:proofErr w:type="spellEnd"/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surcolosa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Industrial uses in smelters, run-off from land waste and anti-fouling paint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</w:p>
        </w:tc>
      </w:tr>
    </w:tbl>
    <w:p w:rsidR="000F3858" w:rsidRPr="001D1D71" w:rsidRDefault="000F3858" w:rsidP="000F3858">
      <w:pPr>
        <w:spacing w:line="240" w:lineRule="auto"/>
        <w:rPr>
          <w:noProof/>
          <w:sz w:val="22"/>
          <w:szCs w:val="22"/>
          <w:lang w:val="en-AU" w:eastAsia="en-AU"/>
        </w:rPr>
      </w:pPr>
    </w:p>
    <w:p w:rsidR="000F3858" w:rsidRPr="001D1D71" w:rsidRDefault="000F3858" w:rsidP="000F3858">
      <w:pPr>
        <w:spacing w:line="240" w:lineRule="auto"/>
        <w:rPr>
          <w:sz w:val="22"/>
          <w:szCs w:val="22"/>
          <w:lang w:val="en-AU"/>
        </w:rPr>
      </w:pPr>
    </w:p>
    <w:p w:rsidR="000F3858" w:rsidRPr="001D1D71" w:rsidRDefault="000F3858" w:rsidP="000F3858">
      <w:pPr>
        <w:spacing w:line="240" w:lineRule="auto"/>
        <w:rPr>
          <w:sz w:val="22"/>
          <w:szCs w:val="22"/>
          <w:lang w:val="en-AU"/>
        </w:rPr>
      </w:pPr>
    </w:p>
    <w:p w:rsidR="00393456" w:rsidRDefault="00393456"/>
    <w:p w:rsidR="008E2695" w:rsidRDefault="008E2695"/>
    <w:p w:rsidR="008E2695" w:rsidRDefault="008E2695" w:rsidP="008E2695">
      <w:pPr>
        <w:overflowPunct/>
        <w:autoSpaceDE/>
        <w:autoSpaceDN/>
        <w:adjustRightInd/>
        <w:spacing w:after="160" w:line="259" w:lineRule="auto"/>
        <w:textAlignment w:val="auto"/>
        <w:sectPr w:rsidR="008E2695" w:rsidSect="008E269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:rsidR="008E2695" w:rsidRDefault="008E2695" w:rsidP="008E2695">
      <w:pPr>
        <w:overflowPunct/>
        <w:autoSpaceDE/>
        <w:autoSpaceDN/>
        <w:adjustRightInd/>
        <w:spacing w:after="160" w:line="259" w:lineRule="auto"/>
        <w:textAlignment w:val="auto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27877D57" wp14:editId="13E04D7F">
            <wp:simplePos x="0" y="0"/>
            <wp:positionH relativeFrom="column">
              <wp:posOffset>772160</wp:posOffset>
            </wp:positionH>
            <wp:positionV relativeFrom="paragraph">
              <wp:posOffset>0</wp:posOffset>
            </wp:positionV>
            <wp:extent cx="3736340" cy="8324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S1. </w:t>
      </w: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Pr="00E4141B" w:rsidRDefault="00E4141B" w:rsidP="00E4141B">
      <w:pPr>
        <w:spacing w:line="240" w:lineRule="auto"/>
        <w:rPr>
          <w:sz w:val="22"/>
          <w:szCs w:val="22"/>
          <w:lang w:val="en-AU"/>
        </w:rPr>
      </w:pPr>
      <w:r w:rsidRPr="00E4141B">
        <w:rPr>
          <w:sz w:val="22"/>
          <w:szCs w:val="22"/>
          <w:lang w:val="en-AU"/>
        </w:rPr>
        <w:t xml:space="preserve">Figure S1. </w:t>
      </w:r>
      <w:r>
        <w:rPr>
          <w:sz w:val="22"/>
          <w:szCs w:val="22"/>
          <w:lang w:val="en-AU"/>
        </w:rPr>
        <w:t xml:space="preserve">Fertilisation success as a function of each factor used to test for normality prior to being input into the full GLMM. </w:t>
      </w:r>
    </w:p>
    <w:p w:rsidR="008E2695" w:rsidRDefault="008E2695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1E723B08" wp14:editId="1F4F75C1">
            <wp:simplePos x="0" y="0"/>
            <wp:positionH relativeFrom="column">
              <wp:posOffset>889000</wp:posOffset>
            </wp:positionH>
            <wp:positionV relativeFrom="paragraph">
              <wp:posOffset>0</wp:posOffset>
            </wp:positionV>
            <wp:extent cx="3683000" cy="83331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833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S2. </w:t>
      </w: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6C6EC4">
      <w:pPr>
        <w:spacing w:line="24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Figure S2</w:t>
      </w:r>
      <w:r w:rsidRPr="00E4141B">
        <w:rPr>
          <w:sz w:val="22"/>
          <w:szCs w:val="22"/>
          <w:lang w:val="en-AU"/>
        </w:rPr>
        <w:t xml:space="preserve">. </w:t>
      </w:r>
      <w:r>
        <w:rPr>
          <w:sz w:val="22"/>
          <w:szCs w:val="22"/>
          <w:lang w:val="en-AU"/>
        </w:rPr>
        <w:t xml:space="preserve">Larval survivorship as a function of each factor used to test for normality prior to being input into the full GLMM. </w:t>
      </w:r>
    </w:p>
    <w:p w:rsidR="00C94977" w:rsidRPr="0050631D" w:rsidRDefault="005E3C1A" w:rsidP="00C94977">
      <w:pPr>
        <w:pStyle w:val="NoSpacing"/>
        <w:rPr>
          <w:rFonts w:ascii="Times New Roman" w:hAnsi="Times New Roman" w:cs="Times New Roman"/>
          <w:b/>
        </w:rPr>
      </w:pPr>
      <w:r w:rsidRPr="0050631D">
        <w:rPr>
          <w:rFonts w:ascii="Times New Roman" w:hAnsi="Times New Roman" w:cs="Times New Roman"/>
        </w:rPr>
        <w:lastRenderedPageBreak/>
        <w:t>Equations</w:t>
      </w:r>
    </w:p>
    <w:p w:rsidR="005E3C1A" w:rsidRPr="0050631D" w:rsidRDefault="005E3C1A" w:rsidP="00C94977">
      <w:pPr>
        <w:pStyle w:val="NoSpacing"/>
        <w:rPr>
          <w:rFonts w:ascii="Times New Roman" w:hAnsi="Times New Roman" w:cs="Times New Roman"/>
          <w:b/>
        </w:rPr>
      </w:pPr>
      <w:r w:rsidRPr="0050631D">
        <w:rPr>
          <w:rFonts w:ascii="Times New Roman" w:hAnsi="Times New Roman" w:cs="Times New Roman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8B3C8C6" wp14:editId="542A2FDE">
                <wp:simplePos x="0" y="0"/>
                <wp:positionH relativeFrom="column">
                  <wp:posOffset>-23854</wp:posOffset>
                </wp:positionH>
                <wp:positionV relativeFrom="paragraph">
                  <wp:posOffset>67723</wp:posOffset>
                </wp:positionV>
                <wp:extent cx="4770783" cy="1470991"/>
                <wp:effectExtent l="0" t="0" r="1079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3" cy="1470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C1A" w:rsidRDefault="005E3C1A" w:rsidP="005E3C1A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587C33">
                              <w:rPr>
                                <w:b/>
                              </w:rPr>
                              <w:t>Fertilisation</w:t>
                            </w:r>
                            <w:r>
                              <w:rPr>
                                <w:b/>
                              </w:rPr>
                              <w:t xml:space="preserve"> success</w:t>
                            </w:r>
                            <w:r>
                              <w:rPr>
                                <w:b/>
                              </w:rPr>
                              <w:t xml:space="preserve"> - </w:t>
                            </w:r>
                            <w:r w:rsidRPr="00587C33">
                              <w:rPr>
                                <w:b/>
                              </w:rPr>
                              <w:t>Equation 1</w:t>
                            </w:r>
                          </w:p>
                          <w:p w:rsidR="005E3C1A" w:rsidRDefault="005E3C1A" w:rsidP="005E3C1A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</w:p>
                          <w:p w:rsidR="005E3C1A" w:rsidRDefault="005E3C1A" w:rsidP="005E3C1A">
                            <w:pPr>
                              <w:pStyle w:val="NoSpacing"/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∝ = -17.6355-4.9171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-0.3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300-0.3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-1.2742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100-0.1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-1.5390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100-0.1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Pr="003E305C">
                              <w:t xml:space="preserve"> -6.4783</w:t>
                            </w:r>
                          </w:p>
                          <w:p w:rsidR="005E3C1A" w:rsidRDefault="005E3C1A" w:rsidP="005E3C1A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br/>
                            </w: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200-2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+42.3975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Sa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-18.4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36.8-18.4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:rsidR="005E3C1A" w:rsidRPr="005E3C1A" w:rsidRDefault="005E3C1A" w:rsidP="005E3C1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3C8C6" id="Rectangle 3" o:spid="_x0000_s1026" style="position:absolute;margin-left:-1.9pt;margin-top:5.35pt;width:375.65pt;height:115.8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" fillcolor="white [3201]" strokecolor="black [3200]" strokeweight="1pt">
                <v:textbox>
                  <w:txbxContent>
                    <w:p w:rsidR="005E3C1A" w:rsidRDefault="005E3C1A" w:rsidP="005E3C1A">
                      <w:pPr>
                        <w:pStyle w:val="NoSpacing"/>
                        <w:rPr>
                          <w:b/>
                        </w:rPr>
                      </w:pPr>
                      <w:r w:rsidRPr="00587C33">
                        <w:rPr>
                          <w:b/>
                        </w:rPr>
                        <w:t>Fertilisation</w:t>
                      </w:r>
                      <w:r>
                        <w:rPr>
                          <w:b/>
                        </w:rPr>
                        <w:t xml:space="preserve"> success</w:t>
                      </w:r>
                      <w:r>
                        <w:rPr>
                          <w:b/>
                        </w:rPr>
                        <w:t xml:space="preserve"> - </w:t>
                      </w:r>
                      <w:r w:rsidRPr="00587C33">
                        <w:rPr>
                          <w:b/>
                        </w:rPr>
                        <w:t>Equation 1</w:t>
                      </w:r>
                    </w:p>
                    <w:p w:rsidR="005E3C1A" w:rsidRDefault="005E3C1A" w:rsidP="005E3C1A">
                      <w:pPr>
                        <w:pStyle w:val="NoSpacing"/>
                        <w:rPr>
                          <w:rFonts w:eastAsiaTheme="minorEastAsia"/>
                        </w:rPr>
                      </w:pPr>
                    </w:p>
                    <w:p w:rsidR="005E3C1A" w:rsidRDefault="005E3C1A" w:rsidP="005E3C1A">
                      <w:pPr>
                        <w:pStyle w:val="NoSpacing"/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∝ = -17.6355-4.9171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-0.3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300-0.3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-1.2742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100-0.1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-1.5390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100-0.1</m:t>
                                </m:r>
                              </m:den>
                            </m:f>
                          </m:e>
                        </m:d>
                      </m:oMath>
                      <w:r w:rsidRPr="003E305C">
                        <w:t xml:space="preserve"> -6.4783</w:t>
                      </w:r>
                    </w:p>
                    <w:p w:rsidR="005E3C1A" w:rsidRDefault="005E3C1A" w:rsidP="005E3C1A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br/>
                      </w: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200-2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+42.3975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Sa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-18.4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36.8-18.4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:rsidR="005E3C1A" w:rsidRPr="005E3C1A" w:rsidRDefault="005E3C1A" w:rsidP="005E3C1A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E3C1A" w:rsidRPr="0050631D" w:rsidRDefault="005E3C1A" w:rsidP="00C94977">
      <w:pPr>
        <w:pStyle w:val="NoSpacing"/>
        <w:rPr>
          <w:rFonts w:ascii="Times New Roman" w:hAnsi="Times New Roman" w:cs="Times New Roman"/>
          <w:b/>
        </w:rPr>
      </w:pPr>
    </w:p>
    <w:p w:rsidR="00C94977" w:rsidRPr="0050631D" w:rsidRDefault="00C94977" w:rsidP="00C94977">
      <w:pPr>
        <w:pStyle w:val="NoSpacing"/>
        <w:rPr>
          <w:rFonts w:ascii="Times New Roman" w:eastAsiaTheme="minorEastAsia" w:hAnsi="Times New Roman" w:cs="Times New Roman"/>
        </w:rPr>
      </w:pPr>
    </w:p>
    <w:p w:rsidR="00C94977" w:rsidRPr="0050631D" w:rsidRDefault="00C94977" w:rsidP="00C94977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5E3C1A" w:rsidRPr="0050631D" w:rsidRDefault="005E3C1A" w:rsidP="00C94977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5E3C1A" w:rsidRPr="0050631D" w:rsidRDefault="005E3C1A" w:rsidP="00C94977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5E3C1A" w:rsidRPr="0050631D" w:rsidRDefault="005E3C1A" w:rsidP="00C94977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5E3C1A" w:rsidRPr="0050631D" w:rsidRDefault="005E3C1A" w:rsidP="00C94977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5E3C1A" w:rsidRPr="0050631D" w:rsidRDefault="005E3C1A" w:rsidP="00C94977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5E3C1A" w:rsidRPr="0050631D" w:rsidRDefault="005E3C1A" w:rsidP="00C94977">
      <w:pPr>
        <w:pStyle w:val="NoSpacing"/>
        <w:rPr>
          <w:rFonts w:ascii="Times New Roman" w:eastAsiaTheme="minorEastAsia" w:hAnsi="Times New Roman" w:cs="Times New Roman"/>
          <w:b/>
        </w:rPr>
      </w:pPr>
      <w:r w:rsidRPr="0050631D">
        <w:rPr>
          <w:rFonts w:ascii="Times New Roman" w:hAnsi="Times New Roman" w:cs="Times New Roman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9923F" wp14:editId="799C705F">
                <wp:simplePos x="0" y="0"/>
                <wp:positionH relativeFrom="column">
                  <wp:posOffset>-23854</wp:posOffset>
                </wp:positionH>
                <wp:positionV relativeFrom="paragraph">
                  <wp:posOffset>154995</wp:posOffset>
                </wp:positionV>
                <wp:extent cx="4770783" cy="850790"/>
                <wp:effectExtent l="0" t="0" r="1079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3" cy="850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C1A" w:rsidRDefault="005E3C1A" w:rsidP="005E3C1A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</w:rPr>
                              <w:t>Larval s</w:t>
                            </w:r>
                            <w:r w:rsidRPr="00587C33">
                              <w:rPr>
                                <w:rFonts w:eastAsiaTheme="minorEastAsia"/>
                                <w:b/>
                              </w:rPr>
                              <w:t>urvivorship</w:t>
                            </w:r>
                            <w:r>
                              <w:rPr>
                                <w:rFonts w:eastAsiaTheme="minor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/>
                              </w:rPr>
                              <w:t xml:space="preserve">- </w:t>
                            </w:r>
                            <w:r w:rsidRPr="00587C33">
                              <w:rPr>
                                <w:b/>
                              </w:rPr>
                              <w:t xml:space="preserve">Equation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:rsidR="005E3C1A" w:rsidRPr="00587C33" w:rsidRDefault="005E3C1A" w:rsidP="005E3C1A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  <w:p w:rsidR="005E3C1A" w:rsidRDefault="005E3C1A" w:rsidP="005E3C1A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∝ =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-3.682-15.708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500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-6.205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20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20000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20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9.289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-18.4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36.8-18.4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5E3C1A" w:rsidRDefault="005E3C1A" w:rsidP="005E3C1A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</w:p>
                          <w:p w:rsidR="005E3C1A" w:rsidRPr="005E3C1A" w:rsidRDefault="005E3C1A" w:rsidP="005E3C1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9923F" id="Rectangle 4" o:spid="_x0000_s1027" style="position:absolute;margin-left:-1.9pt;margin-top:12.2pt;width:375.65pt;height:6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" fillcolor="white [3201]" strokecolor="black [3200]" strokeweight="1pt">
                <v:textbox>
                  <w:txbxContent>
                    <w:p w:rsidR="005E3C1A" w:rsidRDefault="005E3C1A" w:rsidP="005E3C1A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rFonts w:eastAsiaTheme="minorEastAsia"/>
                          <w:b/>
                        </w:rPr>
                        <w:t>Larval s</w:t>
                      </w:r>
                      <w:r w:rsidRPr="00587C33">
                        <w:rPr>
                          <w:rFonts w:eastAsiaTheme="minorEastAsia"/>
                          <w:b/>
                        </w:rPr>
                        <w:t>urvivorship</w:t>
                      </w:r>
                      <w:r>
                        <w:rPr>
                          <w:rFonts w:eastAsiaTheme="minorEastAsia"/>
                          <w:b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/>
                        </w:rPr>
                        <w:t xml:space="preserve">- </w:t>
                      </w:r>
                      <w:r w:rsidRPr="00587C33">
                        <w:rPr>
                          <w:b/>
                        </w:rPr>
                        <w:t xml:space="preserve">Equation </w:t>
                      </w:r>
                      <w:r>
                        <w:rPr>
                          <w:b/>
                        </w:rPr>
                        <w:t>2</w:t>
                      </w:r>
                    </w:p>
                    <w:p w:rsidR="005E3C1A" w:rsidRPr="00587C33" w:rsidRDefault="005E3C1A" w:rsidP="005E3C1A">
                      <w:pPr>
                        <w:pStyle w:val="NoSpacing"/>
                        <w:rPr>
                          <w:rFonts w:eastAsiaTheme="minorEastAsia"/>
                          <w:b/>
                        </w:rPr>
                      </w:pPr>
                    </w:p>
                    <w:p w:rsidR="005E3C1A" w:rsidRDefault="005E3C1A" w:rsidP="005E3C1A">
                      <w:pPr>
                        <w:pStyle w:val="NoSpacing"/>
                        <w:rPr>
                          <w:rFonts w:eastAsiaTheme="minorEastAsia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∝ =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-3.682-15.708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500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-6.205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20000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9.289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-18.4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36.8-18.4</m:t>
                                </m:r>
                              </m:den>
                            </m:f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:rsidR="005E3C1A" w:rsidRDefault="005E3C1A" w:rsidP="005E3C1A">
                      <w:pPr>
                        <w:pStyle w:val="NoSpacing"/>
                        <w:rPr>
                          <w:rFonts w:eastAsiaTheme="minorEastAsia"/>
                        </w:rPr>
                      </w:pPr>
                    </w:p>
                    <w:p w:rsidR="005E3C1A" w:rsidRPr="005E3C1A" w:rsidRDefault="005E3C1A" w:rsidP="005E3C1A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E3C1A" w:rsidRPr="0050631D" w:rsidRDefault="005E3C1A" w:rsidP="00C94977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5E3C1A" w:rsidRPr="0050631D" w:rsidRDefault="005E3C1A" w:rsidP="00C94977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5E3C1A" w:rsidRPr="0050631D" w:rsidRDefault="005E3C1A" w:rsidP="00C94977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5E3C1A" w:rsidRPr="0050631D" w:rsidRDefault="005E3C1A" w:rsidP="00C94977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5E3C1A" w:rsidRPr="0050631D" w:rsidRDefault="005E3C1A" w:rsidP="00C94977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5E3C1A" w:rsidRPr="0050631D" w:rsidRDefault="00917D09" w:rsidP="00C94977">
      <w:pPr>
        <w:pStyle w:val="NoSpacing"/>
        <w:rPr>
          <w:rFonts w:ascii="Times New Roman" w:eastAsiaTheme="minorEastAsia" w:hAnsi="Times New Roman" w:cs="Times New Roman"/>
          <w:b/>
        </w:rPr>
      </w:pPr>
      <w:bookmarkStart w:id="0" w:name="_GoBack"/>
      <w:bookmarkEnd w:id="0"/>
      <w:r w:rsidRPr="0050631D">
        <w:rPr>
          <w:rFonts w:ascii="Times New Roman" w:hAnsi="Times New Roman" w:cs="Times New Roman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DEA76" wp14:editId="65F85F8C">
                <wp:simplePos x="0" y="0"/>
                <wp:positionH relativeFrom="column">
                  <wp:posOffset>-22805</wp:posOffset>
                </wp:positionH>
                <wp:positionV relativeFrom="paragraph">
                  <wp:posOffset>134620</wp:posOffset>
                </wp:positionV>
                <wp:extent cx="4770783" cy="850790"/>
                <wp:effectExtent l="0" t="0" r="1079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3" cy="850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D09" w:rsidRDefault="004D3F39" w:rsidP="00917D09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</w:rPr>
                              <w:t>Equation 3</w:t>
                            </w:r>
                            <w:r w:rsidR="00917D09" w:rsidRPr="00587C33">
                              <w:rPr>
                                <w:rFonts w:eastAsiaTheme="minorEastAsia"/>
                                <w:b/>
                              </w:rPr>
                              <w:t xml:space="preserve"> – Inverse logit</w:t>
                            </w:r>
                            <w:r w:rsidR="00917D09">
                              <w:rPr>
                                <w:rFonts w:eastAsiaTheme="minorEastAsia"/>
                                <w:b/>
                              </w:rPr>
                              <w:t xml:space="preserve"> for both Fertilisation success and larval survivorship</w:t>
                            </w:r>
                          </w:p>
                          <w:p w:rsidR="00917D09" w:rsidRPr="00587C33" w:rsidRDefault="00917D09" w:rsidP="00917D09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  <w:p w:rsidR="00917D09" w:rsidRPr="003E305C" w:rsidRDefault="00917D09" w:rsidP="00917D09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P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exp⁡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(∝)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exp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∝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+1</m:t>
                                      </m:r>
                                    </m:e>
                                  </m:func>
                                </m:den>
                              </m:f>
                            </m:oMath>
                          </w:p>
                          <w:p w:rsidR="00917D09" w:rsidRDefault="00917D09" w:rsidP="00917D09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</w:p>
                          <w:p w:rsidR="00917D09" w:rsidRPr="005E3C1A" w:rsidRDefault="00917D09" w:rsidP="00917D09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DEA76" id="Rectangle 6" o:spid="_x0000_s1028" style="position:absolute;margin-left:-1.8pt;margin-top:10.6pt;width:375.65pt;height:6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" fillcolor="white [3201]" strokecolor="black [3200]" strokeweight="1pt">
                <v:textbox>
                  <w:txbxContent>
                    <w:p w:rsidR="00917D09" w:rsidRDefault="004D3F39" w:rsidP="00917D09">
                      <w:pPr>
                        <w:pStyle w:val="NoSpacing"/>
                        <w:rPr>
                          <w:rFonts w:eastAsiaTheme="minorEastAsia"/>
                          <w:b/>
                        </w:rPr>
                      </w:pPr>
                      <w:r>
                        <w:rPr>
                          <w:rFonts w:eastAsiaTheme="minorEastAsia"/>
                          <w:b/>
                        </w:rPr>
                        <w:t>Equation 3</w:t>
                      </w:r>
                      <w:r w:rsidR="00917D09" w:rsidRPr="00587C33">
                        <w:rPr>
                          <w:rFonts w:eastAsiaTheme="minorEastAsia"/>
                          <w:b/>
                        </w:rPr>
                        <w:t xml:space="preserve"> – Inverse logit</w:t>
                      </w:r>
                      <w:r w:rsidR="00917D09">
                        <w:rPr>
                          <w:rFonts w:eastAsiaTheme="minorEastAsia"/>
                          <w:b/>
                        </w:rPr>
                        <w:t xml:space="preserve"> for both Fertilisation success and larval survivorship</w:t>
                      </w:r>
                    </w:p>
                    <w:p w:rsidR="00917D09" w:rsidRPr="00587C33" w:rsidRDefault="00917D09" w:rsidP="00917D09">
                      <w:pPr>
                        <w:pStyle w:val="NoSpacing"/>
                        <w:rPr>
                          <w:rFonts w:eastAsiaTheme="minorEastAsia"/>
                          <w:b/>
                        </w:rPr>
                      </w:pPr>
                    </w:p>
                    <w:p w:rsidR="00917D09" w:rsidRPr="003E305C" w:rsidRDefault="00917D09" w:rsidP="00917D09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P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exp⁡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(∝)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∝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+1</m:t>
                                </m:r>
                              </m:e>
                            </m:func>
                          </m:den>
                        </m:f>
                      </m:oMath>
                    </w:p>
                    <w:p w:rsidR="00917D09" w:rsidRDefault="00917D09" w:rsidP="00917D09">
                      <w:pPr>
                        <w:pStyle w:val="NoSpacing"/>
                        <w:rPr>
                          <w:rFonts w:eastAsiaTheme="minorEastAsia"/>
                        </w:rPr>
                      </w:pPr>
                    </w:p>
                    <w:p w:rsidR="00917D09" w:rsidRPr="005E3C1A" w:rsidRDefault="00917D09" w:rsidP="00917D09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E3C1A" w:rsidRPr="0050631D" w:rsidRDefault="005E3C1A" w:rsidP="00C94977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5E3C1A" w:rsidRPr="0050631D" w:rsidRDefault="005E3C1A" w:rsidP="00C94977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5E3C1A" w:rsidRPr="0050631D" w:rsidRDefault="005E3C1A" w:rsidP="00C94977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5E3C1A" w:rsidRPr="0050631D" w:rsidRDefault="005E3C1A" w:rsidP="00C94977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C94977" w:rsidRPr="0050631D" w:rsidRDefault="00C94977" w:rsidP="00C94977">
      <w:pPr>
        <w:pStyle w:val="NoSpacing"/>
        <w:rPr>
          <w:rFonts w:ascii="Times New Roman" w:eastAsiaTheme="minorEastAsia" w:hAnsi="Times New Roman" w:cs="Times New Roman"/>
        </w:rPr>
      </w:pPr>
    </w:p>
    <w:p w:rsidR="007363E9" w:rsidRPr="0050631D" w:rsidRDefault="007363E9" w:rsidP="00C94977">
      <w:pPr>
        <w:pStyle w:val="NoSpacing"/>
        <w:rPr>
          <w:rFonts w:ascii="Times New Roman" w:eastAsiaTheme="minorEastAsia" w:hAnsi="Times New Roman" w:cs="Times New Roman"/>
        </w:rPr>
      </w:pPr>
      <w:r w:rsidRPr="0050631D">
        <w:rPr>
          <w:rFonts w:ascii="Times New Roman" w:hAnsi="Times New Roman" w:cs="Times New Roman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24511" wp14:editId="36A04603">
                <wp:simplePos x="0" y="0"/>
                <wp:positionH relativeFrom="column">
                  <wp:posOffset>2886710</wp:posOffset>
                </wp:positionH>
                <wp:positionV relativeFrom="paragraph">
                  <wp:posOffset>112395</wp:posOffset>
                </wp:positionV>
                <wp:extent cx="1860605" cy="1733384"/>
                <wp:effectExtent l="0" t="0" r="2540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1733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3E9" w:rsidRDefault="007363E9" w:rsidP="007363E9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</w:rPr>
                            </w:pPr>
                            <w:r w:rsidRPr="007363E9">
                              <w:rPr>
                                <w:rFonts w:eastAsiaTheme="minorEastAsia"/>
                                <w:b/>
                              </w:rPr>
                              <w:t xml:space="preserve">Key – Equations 1 and 2 </w:t>
                            </w:r>
                          </w:p>
                          <w:p w:rsidR="007363E9" w:rsidRPr="007363E9" w:rsidRDefault="007363E9" w:rsidP="007363E9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1417"/>
                            </w:tblGrid>
                            <w:tr w:rsidR="007363E9" w:rsidRPr="007363E9" w:rsidTr="004E5C70">
                              <w:tc>
                                <w:tcPr>
                                  <w:tcW w:w="988" w:type="dxa"/>
                                </w:tcPr>
                                <w:p w:rsidR="007363E9" w:rsidRPr="007363E9" w:rsidRDefault="007363E9" w:rsidP="007363E9">
                                  <w:pPr>
                                    <w:pStyle w:val="NoSpacing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w:r w:rsidRPr="007363E9">
                                    <w:rPr>
                                      <w:rFonts w:eastAsiaTheme="minorEastAsia"/>
                                      <w:b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7363E9" w:rsidRPr="007363E9" w:rsidRDefault="007363E9" w:rsidP="007363E9">
                                  <w:pPr>
                                    <w:pStyle w:val="NoSpacing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w:r w:rsidRPr="007363E9">
                                    <w:rPr>
                                      <w:rFonts w:eastAsiaTheme="minorEastAsia"/>
                                      <w:b/>
                                    </w:rPr>
                                    <w:t>Factor</w:t>
                                  </w:r>
                                </w:p>
                              </w:tc>
                            </w:tr>
                            <w:tr w:rsidR="007363E9" w:rsidTr="004E5C70">
                              <w:tc>
                                <w:tcPr>
                                  <w:tcW w:w="988" w:type="dxa"/>
                                </w:tcPr>
                                <w:p w:rsidR="007363E9" w:rsidRDefault="007363E9" w:rsidP="007363E9">
                                  <w:pPr>
                                    <w:pStyle w:val="NoSpacing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7363E9" w:rsidRDefault="007363E9" w:rsidP="007363E9">
                                  <w:pPr>
                                    <w:pStyle w:val="NoSpacing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Sediment</w:t>
                                  </w:r>
                                </w:p>
                              </w:tc>
                            </w:tr>
                            <w:tr w:rsidR="007363E9" w:rsidTr="004E5C70">
                              <w:tc>
                                <w:tcPr>
                                  <w:tcW w:w="988" w:type="dxa"/>
                                </w:tcPr>
                                <w:p w:rsidR="007363E9" w:rsidRDefault="007363E9" w:rsidP="007363E9">
                                  <w:pPr>
                                    <w:pStyle w:val="NoSpacing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7363E9" w:rsidRDefault="007363E9" w:rsidP="007363E9">
                                  <w:pPr>
                                    <w:pStyle w:val="NoSpacing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Ammonium</w:t>
                                  </w:r>
                                </w:p>
                              </w:tc>
                            </w:tr>
                            <w:tr w:rsidR="007363E9" w:rsidTr="004E5C70">
                              <w:tc>
                                <w:tcPr>
                                  <w:tcW w:w="988" w:type="dxa"/>
                                </w:tcPr>
                                <w:p w:rsidR="007363E9" w:rsidRDefault="007363E9" w:rsidP="007363E9">
                                  <w:pPr>
                                    <w:pStyle w:val="NoSpacing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7363E9" w:rsidRDefault="007363E9" w:rsidP="007363E9">
                                  <w:pPr>
                                    <w:pStyle w:val="NoSpacing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Phosphate</w:t>
                                  </w:r>
                                </w:p>
                              </w:tc>
                            </w:tr>
                            <w:tr w:rsidR="007363E9" w:rsidTr="004E5C70">
                              <w:tc>
                                <w:tcPr>
                                  <w:tcW w:w="988" w:type="dxa"/>
                                </w:tcPr>
                                <w:p w:rsidR="007363E9" w:rsidRDefault="007363E9" w:rsidP="007363E9">
                                  <w:pPr>
                                    <w:pStyle w:val="NoSpacing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7363E9" w:rsidRDefault="007363E9" w:rsidP="007363E9">
                                  <w:pPr>
                                    <w:pStyle w:val="NoSpacing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Copper</w:t>
                                  </w:r>
                                </w:p>
                              </w:tc>
                            </w:tr>
                            <w:tr w:rsidR="007363E9" w:rsidTr="004E5C70">
                              <w:tc>
                                <w:tcPr>
                                  <w:tcW w:w="988" w:type="dxa"/>
                                </w:tcPr>
                                <w:p w:rsidR="007363E9" w:rsidRDefault="007363E9" w:rsidP="007363E9">
                                  <w:pPr>
                                    <w:pStyle w:val="NoSpacing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Sa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7363E9" w:rsidRDefault="007363E9" w:rsidP="007363E9">
                                  <w:pPr>
                                    <w:pStyle w:val="NoSpacing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Salinity</w:t>
                                  </w:r>
                                </w:p>
                              </w:tc>
                            </w:tr>
                            <w:tr w:rsidR="007363E9" w:rsidTr="004E5C70">
                              <w:tc>
                                <w:tcPr>
                                  <w:tcW w:w="988" w:type="dxa"/>
                                </w:tcPr>
                                <w:p w:rsidR="007363E9" w:rsidRDefault="007363E9" w:rsidP="007363E9">
                                  <w:pPr>
                                    <w:pStyle w:val="NoSpacing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7363E9" w:rsidRDefault="007363E9" w:rsidP="007363E9">
                                  <w:pPr>
                                    <w:pStyle w:val="NoSpacing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Lead</w:t>
                                  </w:r>
                                </w:p>
                              </w:tc>
                            </w:tr>
                          </w:tbl>
                          <w:p w:rsidR="007363E9" w:rsidRDefault="007363E9" w:rsidP="007363E9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</w:p>
                          <w:p w:rsidR="007363E9" w:rsidRPr="005E3C1A" w:rsidRDefault="007363E9" w:rsidP="007363E9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24511" id="Rectangle 7" o:spid="_x0000_s1029" style="position:absolute;margin-left:227.3pt;margin-top:8.85pt;width:146.5pt;height:13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" fillcolor="white [3201]" strokecolor="black [3200]" strokeweight="1pt">
                <v:textbox>
                  <w:txbxContent>
                    <w:p w:rsidR="007363E9" w:rsidRDefault="007363E9" w:rsidP="007363E9">
                      <w:pPr>
                        <w:pStyle w:val="NoSpacing"/>
                        <w:rPr>
                          <w:rFonts w:eastAsiaTheme="minorEastAsia"/>
                          <w:b/>
                        </w:rPr>
                      </w:pPr>
                      <w:r w:rsidRPr="007363E9">
                        <w:rPr>
                          <w:rFonts w:eastAsiaTheme="minorEastAsia"/>
                          <w:b/>
                        </w:rPr>
                        <w:t xml:space="preserve">Key – Equations 1 and 2 </w:t>
                      </w:r>
                    </w:p>
                    <w:p w:rsidR="007363E9" w:rsidRPr="007363E9" w:rsidRDefault="007363E9" w:rsidP="007363E9">
                      <w:pPr>
                        <w:pStyle w:val="NoSpacing"/>
                        <w:rPr>
                          <w:rFonts w:eastAsiaTheme="minorEastAsia"/>
                          <w:b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1417"/>
                      </w:tblGrid>
                      <w:tr w:rsidR="007363E9" w:rsidRPr="007363E9" w:rsidTr="004E5C70">
                        <w:tc>
                          <w:tcPr>
                            <w:tcW w:w="988" w:type="dxa"/>
                          </w:tcPr>
                          <w:p w:rsidR="007363E9" w:rsidRPr="007363E9" w:rsidRDefault="007363E9" w:rsidP="007363E9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</w:rPr>
                            </w:pPr>
                            <w:r w:rsidRPr="007363E9">
                              <w:rPr>
                                <w:rFonts w:eastAsiaTheme="minorEastAsia"/>
                                <w:b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7363E9" w:rsidRPr="007363E9" w:rsidRDefault="007363E9" w:rsidP="007363E9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</w:rPr>
                            </w:pPr>
                            <w:r w:rsidRPr="007363E9">
                              <w:rPr>
                                <w:rFonts w:eastAsiaTheme="minorEastAsia"/>
                                <w:b/>
                              </w:rPr>
                              <w:t>Factor</w:t>
                            </w:r>
                          </w:p>
                        </w:tc>
                      </w:tr>
                      <w:tr w:rsidR="007363E9" w:rsidTr="004E5C70">
                        <w:tc>
                          <w:tcPr>
                            <w:tcW w:w="988" w:type="dxa"/>
                          </w:tcPr>
                          <w:p w:rsidR="007363E9" w:rsidRDefault="007363E9" w:rsidP="007363E9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7363E9" w:rsidRDefault="007363E9" w:rsidP="007363E9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Sediment</w:t>
                            </w:r>
                          </w:p>
                        </w:tc>
                      </w:tr>
                      <w:tr w:rsidR="007363E9" w:rsidTr="004E5C70">
                        <w:tc>
                          <w:tcPr>
                            <w:tcW w:w="988" w:type="dxa"/>
                          </w:tcPr>
                          <w:p w:rsidR="007363E9" w:rsidRDefault="007363E9" w:rsidP="007363E9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7363E9" w:rsidRDefault="007363E9" w:rsidP="007363E9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Ammonium</w:t>
                            </w:r>
                          </w:p>
                        </w:tc>
                      </w:tr>
                      <w:tr w:rsidR="007363E9" w:rsidTr="004E5C70">
                        <w:tc>
                          <w:tcPr>
                            <w:tcW w:w="988" w:type="dxa"/>
                          </w:tcPr>
                          <w:p w:rsidR="007363E9" w:rsidRDefault="007363E9" w:rsidP="007363E9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7363E9" w:rsidRDefault="007363E9" w:rsidP="007363E9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Phosphate</w:t>
                            </w:r>
                          </w:p>
                        </w:tc>
                      </w:tr>
                      <w:tr w:rsidR="007363E9" w:rsidTr="004E5C70">
                        <w:tc>
                          <w:tcPr>
                            <w:tcW w:w="988" w:type="dxa"/>
                          </w:tcPr>
                          <w:p w:rsidR="007363E9" w:rsidRDefault="007363E9" w:rsidP="007363E9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7363E9" w:rsidRDefault="007363E9" w:rsidP="007363E9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Copper</w:t>
                            </w:r>
                          </w:p>
                        </w:tc>
                      </w:tr>
                      <w:tr w:rsidR="007363E9" w:rsidTr="004E5C70">
                        <w:tc>
                          <w:tcPr>
                            <w:tcW w:w="988" w:type="dxa"/>
                          </w:tcPr>
                          <w:p w:rsidR="007363E9" w:rsidRDefault="007363E9" w:rsidP="007363E9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Sa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7363E9" w:rsidRDefault="007363E9" w:rsidP="007363E9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Salinity</w:t>
                            </w:r>
                          </w:p>
                        </w:tc>
                      </w:tr>
                      <w:tr w:rsidR="007363E9" w:rsidTr="004E5C70">
                        <w:tc>
                          <w:tcPr>
                            <w:tcW w:w="988" w:type="dxa"/>
                          </w:tcPr>
                          <w:p w:rsidR="007363E9" w:rsidRDefault="007363E9" w:rsidP="007363E9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7363E9" w:rsidRDefault="007363E9" w:rsidP="007363E9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Lead</w:t>
                            </w:r>
                          </w:p>
                        </w:tc>
                      </w:tr>
                    </w:tbl>
                    <w:p w:rsidR="007363E9" w:rsidRDefault="007363E9" w:rsidP="007363E9">
                      <w:pPr>
                        <w:pStyle w:val="NoSpacing"/>
                        <w:rPr>
                          <w:rFonts w:eastAsiaTheme="minorEastAsia"/>
                        </w:rPr>
                      </w:pPr>
                    </w:p>
                    <w:p w:rsidR="007363E9" w:rsidRPr="005E3C1A" w:rsidRDefault="007363E9" w:rsidP="007363E9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363E9" w:rsidRPr="0050631D" w:rsidRDefault="007363E9" w:rsidP="00C94977">
      <w:pPr>
        <w:pStyle w:val="NoSpacing"/>
        <w:rPr>
          <w:rFonts w:ascii="Times New Roman" w:eastAsiaTheme="minorEastAsia" w:hAnsi="Times New Roman" w:cs="Times New Roman"/>
        </w:rPr>
      </w:pPr>
    </w:p>
    <w:p w:rsidR="007363E9" w:rsidRPr="0050631D" w:rsidRDefault="007363E9" w:rsidP="00C94977">
      <w:pPr>
        <w:pStyle w:val="NoSpacing"/>
        <w:rPr>
          <w:rFonts w:ascii="Times New Roman" w:eastAsiaTheme="minorEastAsia" w:hAnsi="Times New Roman" w:cs="Times New Roman"/>
        </w:rPr>
      </w:pPr>
    </w:p>
    <w:p w:rsidR="007363E9" w:rsidRPr="0050631D" w:rsidRDefault="007363E9" w:rsidP="00C94977">
      <w:pPr>
        <w:pStyle w:val="NoSpacing"/>
        <w:rPr>
          <w:rFonts w:ascii="Times New Roman" w:eastAsiaTheme="minorEastAsia" w:hAnsi="Times New Roman" w:cs="Times New Roman"/>
        </w:rPr>
      </w:pPr>
    </w:p>
    <w:p w:rsidR="007363E9" w:rsidRPr="0050631D" w:rsidRDefault="007363E9" w:rsidP="00C94977">
      <w:pPr>
        <w:pStyle w:val="NoSpacing"/>
        <w:rPr>
          <w:rFonts w:ascii="Times New Roman" w:eastAsiaTheme="minorEastAsia" w:hAnsi="Times New Roman" w:cs="Times New Roman"/>
        </w:rPr>
      </w:pPr>
    </w:p>
    <w:p w:rsidR="007363E9" w:rsidRPr="0050631D" w:rsidRDefault="007363E9" w:rsidP="00C94977">
      <w:pPr>
        <w:pStyle w:val="NoSpacing"/>
        <w:rPr>
          <w:rFonts w:ascii="Times New Roman" w:eastAsiaTheme="minorEastAsia" w:hAnsi="Times New Roman" w:cs="Times New Roman"/>
        </w:rPr>
      </w:pPr>
    </w:p>
    <w:p w:rsidR="00C94977" w:rsidRPr="0050631D" w:rsidRDefault="00C94977" w:rsidP="006C6EC4">
      <w:pPr>
        <w:spacing w:line="240" w:lineRule="auto"/>
        <w:rPr>
          <w:sz w:val="22"/>
          <w:szCs w:val="22"/>
          <w:lang w:val="en-AU"/>
        </w:rPr>
      </w:pPr>
    </w:p>
    <w:p w:rsidR="007363E9" w:rsidRPr="0050631D" w:rsidRDefault="007363E9" w:rsidP="006C6EC4">
      <w:pPr>
        <w:spacing w:line="240" w:lineRule="auto"/>
        <w:rPr>
          <w:sz w:val="22"/>
          <w:szCs w:val="22"/>
          <w:lang w:val="en-AU"/>
        </w:rPr>
      </w:pPr>
    </w:p>
    <w:p w:rsidR="007363E9" w:rsidRPr="0050631D" w:rsidRDefault="007363E9" w:rsidP="006C6EC4">
      <w:pPr>
        <w:spacing w:line="240" w:lineRule="auto"/>
        <w:rPr>
          <w:sz w:val="22"/>
          <w:szCs w:val="22"/>
          <w:lang w:val="en-AU"/>
        </w:rPr>
      </w:pPr>
    </w:p>
    <w:p w:rsidR="007363E9" w:rsidRPr="0050631D" w:rsidRDefault="007363E9" w:rsidP="006C6EC4">
      <w:pPr>
        <w:spacing w:line="240" w:lineRule="auto"/>
        <w:rPr>
          <w:sz w:val="22"/>
          <w:szCs w:val="22"/>
          <w:lang w:val="en-AU"/>
        </w:rPr>
      </w:pPr>
    </w:p>
    <w:p w:rsidR="007363E9" w:rsidRPr="0050631D" w:rsidRDefault="007363E9" w:rsidP="006C6EC4">
      <w:pPr>
        <w:spacing w:line="240" w:lineRule="auto"/>
        <w:rPr>
          <w:sz w:val="22"/>
          <w:szCs w:val="22"/>
          <w:lang w:val="en-AU"/>
        </w:rPr>
      </w:pPr>
    </w:p>
    <w:p w:rsidR="007363E9" w:rsidRPr="0050631D" w:rsidRDefault="007363E9" w:rsidP="006C6EC4">
      <w:pPr>
        <w:spacing w:line="240" w:lineRule="auto"/>
        <w:rPr>
          <w:sz w:val="22"/>
          <w:szCs w:val="22"/>
          <w:lang w:val="en-AU"/>
        </w:rPr>
      </w:pPr>
    </w:p>
    <w:p w:rsidR="007363E9" w:rsidRPr="0050631D" w:rsidRDefault="007363E9" w:rsidP="006C6EC4">
      <w:pPr>
        <w:spacing w:line="240" w:lineRule="auto"/>
        <w:rPr>
          <w:sz w:val="22"/>
          <w:szCs w:val="22"/>
          <w:lang w:val="en-AU"/>
        </w:rPr>
      </w:pPr>
    </w:p>
    <w:p w:rsidR="00AC0885" w:rsidRPr="0050631D" w:rsidRDefault="00AC0885" w:rsidP="006C6EC4">
      <w:pPr>
        <w:spacing w:line="240" w:lineRule="auto"/>
        <w:rPr>
          <w:sz w:val="22"/>
          <w:szCs w:val="22"/>
          <w:lang w:val="en-AU"/>
        </w:rPr>
      </w:pPr>
      <w:r w:rsidRPr="0050631D">
        <w:rPr>
          <w:sz w:val="22"/>
          <w:szCs w:val="22"/>
          <w:lang w:val="en-AU"/>
        </w:rPr>
        <w:t xml:space="preserve">The above equations further explain the models used with our study and highlight the use of rescaling to better represent the data used. The values used within these equations </w:t>
      </w:r>
      <w:r w:rsidR="007363E9" w:rsidRPr="0050631D">
        <w:rPr>
          <w:sz w:val="22"/>
          <w:szCs w:val="22"/>
          <w:lang w:val="en-AU"/>
        </w:rPr>
        <w:t>are</w:t>
      </w:r>
      <w:r w:rsidRPr="0050631D">
        <w:rPr>
          <w:sz w:val="22"/>
          <w:szCs w:val="22"/>
          <w:lang w:val="en-AU"/>
        </w:rPr>
        <w:t xml:space="preserve"> the </w:t>
      </w:r>
      <w:r w:rsidR="007363E9" w:rsidRPr="0050631D">
        <w:rPr>
          <w:sz w:val="22"/>
          <w:szCs w:val="22"/>
          <w:lang w:val="en-AU"/>
        </w:rPr>
        <w:t>coefficients that</w:t>
      </w:r>
      <w:r w:rsidRPr="0050631D">
        <w:rPr>
          <w:sz w:val="22"/>
          <w:szCs w:val="22"/>
          <w:lang w:val="en-AU"/>
        </w:rPr>
        <w:t xml:space="preserve"> can be found </w:t>
      </w:r>
      <w:r w:rsidR="007363E9" w:rsidRPr="0050631D">
        <w:rPr>
          <w:sz w:val="22"/>
          <w:szCs w:val="22"/>
          <w:lang w:val="en-AU"/>
        </w:rPr>
        <w:t xml:space="preserve">in Tables 2 and 3 as the results of each model. It is important to note that new factors can be added if more data is included within the larger sample. </w:t>
      </w:r>
      <w:r w:rsidR="00D13AC9" w:rsidRPr="0050631D">
        <w:rPr>
          <w:sz w:val="22"/>
          <w:szCs w:val="22"/>
          <w:lang w:val="en-AU"/>
        </w:rPr>
        <w:t>For further explanation</w:t>
      </w:r>
      <w:r w:rsidR="00423DC7" w:rsidRPr="0050631D">
        <w:rPr>
          <w:sz w:val="22"/>
          <w:szCs w:val="22"/>
          <w:lang w:val="en-AU"/>
        </w:rPr>
        <w:t xml:space="preserve"> </w:t>
      </w:r>
      <w:r w:rsidR="00D13AC9" w:rsidRPr="0050631D">
        <w:rPr>
          <w:sz w:val="22"/>
          <w:szCs w:val="22"/>
          <w:lang w:val="en-AU"/>
        </w:rPr>
        <w:t xml:space="preserve">of the model </w:t>
      </w:r>
      <w:r w:rsidR="00423DC7" w:rsidRPr="0050631D">
        <w:rPr>
          <w:sz w:val="22"/>
          <w:szCs w:val="22"/>
          <w:lang w:val="en-AU"/>
        </w:rPr>
        <w:t xml:space="preserve">access our </w:t>
      </w:r>
      <w:proofErr w:type="spellStart"/>
      <w:r w:rsidR="00423DC7" w:rsidRPr="0050631D">
        <w:rPr>
          <w:sz w:val="22"/>
          <w:szCs w:val="22"/>
          <w:lang w:val="en-AU"/>
        </w:rPr>
        <w:t>Github</w:t>
      </w:r>
      <w:proofErr w:type="spellEnd"/>
      <w:r w:rsidR="00423DC7" w:rsidRPr="0050631D">
        <w:rPr>
          <w:sz w:val="22"/>
          <w:szCs w:val="22"/>
          <w:lang w:val="en-AU"/>
        </w:rPr>
        <w:t xml:space="preserve"> page. This page will also allow you to import your own water analysis results for varying sites. </w:t>
      </w:r>
    </w:p>
    <w:p w:rsidR="00AC0885" w:rsidRPr="0050631D" w:rsidRDefault="00AC0885" w:rsidP="006C6EC4">
      <w:pPr>
        <w:spacing w:line="240" w:lineRule="auto"/>
        <w:rPr>
          <w:sz w:val="22"/>
          <w:szCs w:val="22"/>
          <w:lang w:val="en-AU"/>
        </w:rPr>
      </w:pPr>
    </w:p>
    <w:sectPr w:rsidR="00AC0885" w:rsidRPr="0050631D" w:rsidSect="008E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58"/>
    <w:rsid w:val="00005692"/>
    <w:rsid w:val="00014C73"/>
    <w:rsid w:val="00017F61"/>
    <w:rsid w:val="000222BC"/>
    <w:rsid w:val="000232DA"/>
    <w:rsid w:val="00033396"/>
    <w:rsid w:val="00035480"/>
    <w:rsid w:val="00040762"/>
    <w:rsid w:val="000428B2"/>
    <w:rsid w:val="00043A52"/>
    <w:rsid w:val="00054203"/>
    <w:rsid w:val="000576A9"/>
    <w:rsid w:val="000661DF"/>
    <w:rsid w:val="00070025"/>
    <w:rsid w:val="00074CCD"/>
    <w:rsid w:val="000777B2"/>
    <w:rsid w:val="0008249D"/>
    <w:rsid w:val="00085817"/>
    <w:rsid w:val="00085EEC"/>
    <w:rsid w:val="00085F67"/>
    <w:rsid w:val="000861B3"/>
    <w:rsid w:val="000876EA"/>
    <w:rsid w:val="00093707"/>
    <w:rsid w:val="00097D59"/>
    <w:rsid w:val="00097DF0"/>
    <w:rsid w:val="000A1493"/>
    <w:rsid w:val="000A6DC2"/>
    <w:rsid w:val="000B0220"/>
    <w:rsid w:val="000B1805"/>
    <w:rsid w:val="000D2A7D"/>
    <w:rsid w:val="000E1E1A"/>
    <w:rsid w:val="000E4A9B"/>
    <w:rsid w:val="000E68FC"/>
    <w:rsid w:val="000F3858"/>
    <w:rsid w:val="001054D8"/>
    <w:rsid w:val="0011014E"/>
    <w:rsid w:val="0012230F"/>
    <w:rsid w:val="0012328B"/>
    <w:rsid w:val="00132FD8"/>
    <w:rsid w:val="00140B33"/>
    <w:rsid w:val="00143B7B"/>
    <w:rsid w:val="00144919"/>
    <w:rsid w:val="00163367"/>
    <w:rsid w:val="00171E04"/>
    <w:rsid w:val="0017302B"/>
    <w:rsid w:val="0017401F"/>
    <w:rsid w:val="001A6E8E"/>
    <w:rsid w:val="001C6BA0"/>
    <w:rsid w:val="001C72A4"/>
    <w:rsid w:val="001D00D7"/>
    <w:rsid w:val="001D1887"/>
    <w:rsid w:val="001D71C7"/>
    <w:rsid w:val="001E23AA"/>
    <w:rsid w:val="001E6071"/>
    <w:rsid w:val="00201FFB"/>
    <w:rsid w:val="0021277D"/>
    <w:rsid w:val="00232734"/>
    <w:rsid w:val="00235987"/>
    <w:rsid w:val="00242019"/>
    <w:rsid w:val="002433F8"/>
    <w:rsid w:val="00251DF7"/>
    <w:rsid w:val="00261BED"/>
    <w:rsid w:val="00263F77"/>
    <w:rsid w:val="0026659C"/>
    <w:rsid w:val="00266FF8"/>
    <w:rsid w:val="0027285E"/>
    <w:rsid w:val="00273FFC"/>
    <w:rsid w:val="0028390D"/>
    <w:rsid w:val="0028472A"/>
    <w:rsid w:val="00297F85"/>
    <w:rsid w:val="002A2169"/>
    <w:rsid w:val="002A343F"/>
    <w:rsid w:val="002A60C7"/>
    <w:rsid w:val="002B33B7"/>
    <w:rsid w:val="002B41AF"/>
    <w:rsid w:val="002B66A6"/>
    <w:rsid w:val="002B6BDE"/>
    <w:rsid w:val="002B77BF"/>
    <w:rsid w:val="002C712B"/>
    <w:rsid w:val="002D5FEF"/>
    <w:rsid w:val="002E38AE"/>
    <w:rsid w:val="002E5AA1"/>
    <w:rsid w:val="002F3CC0"/>
    <w:rsid w:val="002F4F05"/>
    <w:rsid w:val="0031109F"/>
    <w:rsid w:val="0031239D"/>
    <w:rsid w:val="00322461"/>
    <w:rsid w:val="003237AF"/>
    <w:rsid w:val="003253D1"/>
    <w:rsid w:val="00334143"/>
    <w:rsid w:val="00341CCE"/>
    <w:rsid w:val="00342086"/>
    <w:rsid w:val="0034296A"/>
    <w:rsid w:val="00344328"/>
    <w:rsid w:val="00345CA4"/>
    <w:rsid w:val="00345EA8"/>
    <w:rsid w:val="00351277"/>
    <w:rsid w:val="003514A0"/>
    <w:rsid w:val="00353F46"/>
    <w:rsid w:val="003606E0"/>
    <w:rsid w:val="00365D1F"/>
    <w:rsid w:val="00381392"/>
    <w:rsid w:val="00382B54"/>
    <w:rsid w:val="003864D5"/>
    <w:rsid w:val="00393456"/>
    <w:rsid w:val="00394A3A"/>
    <w:rsid w:val="003951FE"/>
    <w:rsid w:val="003A3997"/>
    <w:rsid w:val="003A43B2"/>
    <w:rsid w:val="003B5E28"/>
    <w:rsid w:val="003C7C58"/>
    <w:rsid w:val="003C7EE4"/>
    <w:rsid w:val="003D492F"/>
    <w:rsid w:val="003E3033"/>
    <w:rsid w:val="003E50FE"/>
    <w:rsid w:val="003F3FD3"/>
    <w:rsid w:val="00423DC7"/>
    <w:rsid w:val="00424D7D"/>
    <w:rsid w:val="004310CE"/>
    <w:rsid w:val="004417FC"/>
    <w:rsid w:val="00442F43"/>
    <w:rsid w:val="00453B85"/>
    <w:rsid w:val="0046293E"/>
    <w:rsid w:val="004A6CD7"/>
    <w:rsid w:val="004A6D75"/>
    <w:rsid w:val="004C10C0"/>
    <w:rsid w:val="004C3410"/>
    <w:rsid w:val="004C4065"/>
    <w:rsid w:val="004C5B95"/>
    <w:rsid w:val="004C70F4"/>
    <w:rsid w:val="004D2168"/>
    <w:rsid w:val="004D2A00"/>
    <w:rsid w:val="004D3F39"/>
    <w:rsid w:val="004E1768"/>
    <w:rsid w:val="004E1F68"/>
    <w:rsid w:val="004E2835"/>
    <w:rsid w:val="005003A4"/>
    <w:rsid w:val="0050405D"/>
    <w:rsid w:val="0050631D"/>
    <w:rsid w:val="0050789E"/>
    <w:rsid w:val="005107A4"/>
    <w:rsid w:val="00510E70"/>
    <w:rsid w:val="00527488"/>
    <w:rsid w:val="0053668F"/>
    <w:rsid w:val="00541A05"/>
    <w:rsid w:val="00553A62"/>
    <w:rsid w:val="00555969"/>
    <w:rsid w:val="0055759C"/>
    <w:rsid w:val="00561AE3"/>
    <w:rsid w:val="00562A75"/>
    <w:rsid w:val="005641CD"/>
    <w:rsid w:val="005651E1"/>
    <w:rsid w:val="00566B2D"/>
    <w:rsid w:val="00566F85"/>
    <w:rsid w:val="00576B53"/>
    <w:rsid w:val="00581B4A"/>
    <w:rsid w:val="0059016B"/>
    <w:rsid w:val="005918E4"/>
    <w:rsid w:val="005A0E99"/>
    <w:rsid w:val="005B111D"/>
    <w:rsid w:val="005B73E7"/>
    <w:rsid w:val="005C7B5F"/>
    <w:rsid w:val="005C7D13"/>
    <w:rsid w:val="005D0EE6"/>
    <w:rsid w:val="005D4F65"/>
    <w:rsid w:val="005E32CB"/>
    <w:rsid w:val="005E3C1A"/>
    <w:rsid w:val="005E447F"/>
    <w:rsid w:val="005F5B17"/>
    <w:rsid w:val="005F6018"/>
    <w:rsid w:val="005F7643"/>
    <w:rsid w:val="006018E7"/>
    <w:rsid w:val="0060464C"/>
    <w:rsid w:val="00606620"/>
    <w:rsid w:val="0060748C"/>
    <w:rsid w:val="006251FB"/>
    <w:rsid w:val="00627854"/>
    <w:rsid w:val="0063116F"/>
    <w:rsid w:val="00642AD2"/>
    <w:rsid w:val="00656237"/>
    <w:rsid w:val="00657EC8"/>
    <w:rsid w:val="00661DE4"/>
    <w:rsid w:val="00664052"/>
    <w:rsid w:val="00676170"/>
    <w:rsid w:val="00676726"/>
    <w:rsid w:val="006818A4"/>
    <w:rsid w:val="00694F78"/>
    <w:rsid w:val="00695483"/>
    <w:rsid w:val="00695BC0"/>
    <w:rsid w:val="006B06D1"/>
    <w:rsid w:val="006B56E8"/>
    <w:rsid w:val="006B7F82"/>
    <w:rsid w:val="006C03D3"/>
    <w:rsid w:val="006C241A"/>
    <w:rsid w:val="006C4A95"/>
    <w:rsid w:val="006C52DD"/>
    <w:rsid w:val="006C6EC4"/>
    <w:rsid w:val="006C6F42"/>
    <w:rsid w:val="006D4C49"/>
    <w:rsid w:val="006E0B61"/>
    <w:rsid w:val="006E56ED"/>
    <w:rsid w:val="006F6A83"/>
    <w:rsid w:val="007000F8"/>
    <w:rsid w:val="00705A4A"/>
    <w:rsid w:val="00707779"/>
    <w:rsid w:val="00715F2D"/>
    <w:rsid w:val="00733926"/>
    <w:rsid w:val="00734BB5"/>
    <w:rsid w:val="007363E9"/>
    <w:rsid w:val="00737CCA"/>
    <w:rsid w:val="00745FCD"/>
    <w:rsid w:val="00751602"/>
    <w:rsid w:val="00751B9E"/>
    <w:rsid w:val="007538FC"/>
    <w:rsid w:val="00770A24"/>
    <w:rsid w:val="00770E58"/>
    <w:rsid w:val="00775BCC"/>
    <w:rsid w:val="007835B9"/>
    <w:rsid w:val="007863E7"/>
    <w:rsid w:val="00786AD8"/>
    <w:rsid w:val="00787B69"/>
    <w:rsid w:val="00791E83"/>
    <w:rsid w:val="00795136"/>
    <w:rsid w:val="00795338"/>
    <w:rsid w:val="007A2705"/>
    <w:rsid w:val="007A4ACF"/>
    <w:rsid w:val="007A67C2"/>
    <w:rsid w:val="007A7B6D"/>
    <w:rsid w:val="007B0A4C"/>
    <w:rsid w:val="007B5C79"/>
    <w:rsid w:val="007C0905"/>
    <w:rsid w:val="007C3FB6"/>
    <w:rsid w:val="007C40ED"/>
    <w:rsid w:val="007C6DFC"/>
    <w:rsid w:val="007D0F58"/>
    <w:rsid w:val="007D68EF"/>
    <w:rsid w:val="007E203F"/>
    <w:rsid w:val="007E38D4"/>
    <w:rsid w:val="007E572F"/>
    <w:rsid w:val="007E614D"/>
    <w:rsid w:val="007F3E1E"/>
    <w:rsid w:val="00800447"/>
    <w:rsid w:val="00804D27"/>
    <w:rsid w:val="008058AE"/>
    <w:rsid w:val="00814611"/>
    <w:rsid w:val="00814AA4"/>
    <w:rsid w:val="00815C1F"/>
    <w:rsid w:val="008256C4"/>
    <w:rsid w:val="008274A5"/>
    <w:rsid w:val="0083220C"/>
    <w:rsid w:val="00834A8F"/>
    <w:rsid w:val="0083662C"/>
    <w:rsid w:val="008379F1"/>
    <w:rsid w:val="008433D8"/>
    <w:rsid w:val="00845D07"/>
    <w:rsid w:val="00846C7C"/>
    <w:rsid w:val="008534BE"/>
    <w:rsid w:val="00856561"/>
    <w:rsid w:val="008667F5"/>
    <w:rsid w:val="00867E75"/>
    <w:rsid w:val="008710EB"/>
    <w:rsid w:val="00880581"/>
    <w:rsid w:val="00884D49"/>
    <w:rsid w:val="008857D0"/>
    <w:rsid w:val="008964DD"/>
    <w:rsid w:val="008A706F"/>
    <w:rsid w:val="008B32E2"/>
    <w:rsid w:val="008C2078"/>
    <w:rsid w:val="008C5024"/>
    <w:rsid w:val="008D02B7"/>
    <w:rsid w:val="008D0BCF"/>
    <w:rsid w:val="008D35F8"/>
    <w:rsid w:val="008D4C7D"/>
    <w:rsid w:val="008D70CE"/>
    <w:rsid w:val="008D7BF4"/>
    <w:rsid w:val="008E021E"/>
    <w:rsid w:val="008E1A37"/>
    <w:rsid w:val="008E2695"/>
    <w:rsid w:val="008E4A34"/>
    <w:rsid w:val="008E7410"/>
    <w:rsid w:val="008F3EA1"/>
    <w:rsid w:val="0090181A"/>
    <w:rsid w:val="00901BE2"/>
    <w:rsid w:val="00903AEE"/>
    <w:rsid w:val="00906D71"/>
    <w:rsid w:val="00917D09"/>
    <w:rsid w:val="00926832"/>
    <w:rsid w:val="009302FB"/>
    <w:rsid w:val="0093079D"/>
    <w:rsid w:val="00931A60"/>
    <w:rsid w:val="00937B5B"/>
    <w:rsid w:val="00944B21"/>
    <w:rsid w:val="0094646D"/>
    <w:rsid w:val="00951616"/>
    <w:rsid w:val="00952005"/>
    <w:rsid w:val="00956BAE"/>
    <w:rsid w:val="00957A0B"/>
    <w:rsid w:val="00963BC9"/>
    <w:rsid w:val="00963BE6"/>
    <w:rsid w:val="00980613"/>
    <w:rsid w:val="00982510"/>
    <w:rsid w:val="009853C4"/>
    <w:rsid w:val="0098553A"/>
    <w:rsid w:val="00990850"/>
    <w:rsid w:val="00995333"/>
    <w:rsid w:val="009A585B"/>
    <w:rsid w:val="009B078B"/>
    <w:rsid w:val="009B326C"/>
    <w:rsid w:val="009B40BE"/>
    <w:rsid w:val="009B5EED"/>
    <w:rsid w:val="009C04A7"/>
    <w:rsid w:val="009C04CF"/>
    <w:rsid w:val="009C2471"/>
    <w:rsid w:val="009C5D66"/>
    <w:rsid w:val="009C6D75"/>
    <w:rsid w:val="009E016E"/>
    <w:rsid w:val="009E6983"/>
    <w:rsid w:val="009E7F74"/>
    <w:rsid w:val="009F126C"/>
    <w:rsid w:val="00A0724E"/>
    <w:rsid w:val="00A128EC"/>
    <w:rsid w:val="00A16648"/>
    <w:rsid w:val="00A17D59"/>
    <w:rsid w:val="00A17F0B"/>
    <w:rsid w:val="00A217FA"/>
    <w:rsid w:val="00A3451F"/>
    <w:rsid w:val="00A36E91"/>
    <w:rsid w:val="00A411B3"/>
    <w:rsid w:val="00A50D0F"/>
    <w:rsid w:val="00A52510"/>
    <w:rsid w:val="00A54730"/>
    <w:rsid w:val="00A65CD6"/>
    <w:rsid w:val="00A80028"/>
    <w:rsid w:val="00A921B2"/>
    <w:rsid w:val="00A92510"/>
    <w:rsid w:val="00A93A6E"/>
    <w:rsid w:val="00A949A4"/>
    <w:rsid w:val="00AA1D3D"/>
    <w:rsid w:val="00AA305F"/>
    <w:rsid w:val="00AA4BE2"/>
    <w:rsid w:val="00AA6025"/>
    <w:rsid w:val="00AB5FCD"/>
    <w:rsid w:val="00AC0885"/>
    <w:rsid w:val="00AC5512"/>
    <w:rsid w:val="00AE3DA5"/>
    <w:rsid w:val="00AE6E7B"/>
    <w:rsid w:val="00AF22CE"/>
    <w:rsid w:val="00AF5DD9"/>
    <w:rsid w:val="00B00116"/>
    <w:rsid w:val="00B02BDF"/>
    <w:rsid w:val="00B03F0B"/>
    <w:rsid w:val="00B059DD"/>
    <w:rsid w:val="00B113CF"/>
    <w:rsid w:val="00B11C64"/>
    <w:rsid w:val="00B12119"/>
    <w:rsid w:val="00B20249"/>
    <w:rsid w:val="00B22033"/>
    <w:rsid w:val="00B257E2"/>
    <w:rsid w:val="00B27487"/>
    <w:rsid w:val="00B31236"/>
    <w:rsid w:val="00B407AA"/>
    <w:rsid w:val="00B41047"/>
    <w:rsid w:val="00B41F11"/>
    <w:rsid w:val="00B44649"/>
    <w:rsid w:val="00B56F0D"/>
    <w:rsid w:val="00B6695B"/>
    <w:rsid w:val="00B67863"/>
    <w:rsid w:val="00B70D65"/>
    <w:rsid w:val="00B714BC"/>
    <w:rsid w:val="00B8498E"/>
    <w:rsid w:val="00B858EF"/>
    <w:rsid w:val="00B91FB0"/>
    <w:rsid w:val="00B95174"/>
    <w:rsid w:val="00BA0821"/>
    <w:rsid w:val="00BB6DF4"/>
    <w:rsid w:val="00BC4A8C"/>
    <w:rsid w:val="00BD2F41"/>
    <w:rsid w:val="00BF2DC1"/>
    <w:rsid w:val="00BF45B8"/>
    <w:rsid w:val="00BF4D94"/>
    <w:rsid w:val="00BF7585"/>
    <w:rsid w:val="00C07021"/>
    <w:rsid w:val="00C0746D"/>
    <w:rsid w:val="00C12F70"/>
    <w:rsid w:val="00C137ED"/>
    <w:rsid w:val="00C212E1"/>
    <w:rsid w:val="00C23684"/>
    <w:rsid w:val="00C351AF"/>
    <w:rsid w:val="00C4069D"/>
    <w:rsid w:val="00C428D2"/>
    <w:rsid w:val="00C44753"/>
    <w:rsid w:val="00C51B2E"/>
    <w:rsid w:val="00C54C98"/>
    <w:rsid w:val="00C610B9"/>
    <w:rsid w:val="00C854B8"/>
    <w:rsid w:val="00C91A2E"/>
    <w:rsid w:val="00C94977"/>
    <w:rsid w:val="00C963AD"/>
    <w:rsid w:val="00C96670"/>
    <w:rsid w:val="00CC6321"/>
    <w:rsid w:val="00CC7161"/>
    <w:rsid w:val="00CE16DA"/>
    <w:rsid w:val="00CE352A"/>
    <w:rsid w:val="00CF455A"/>
    <w:rsid w:val="00CF4E84"/>
    <w:rsid w:val="00CF62B2"/>
    <w:rsid w:val="00CF7AA8"/>
    <w:rsid w:val="00D00223"/>
    <w:rsid w:val="00D04A3A"/>
    <w:rsid w:val="00D13AC9"/>
    <w:rsid w:val="00D14492"/>
    <w:rsid w:val="00D20268"/>
    <w:rsid w:val="00D219CF"/>
    <w:rsid w:val="00D31633"/>
    <w:rsid w:val="00D32DBB"/>
    <w:rsid w:val="00D44539"/>
    <w:rsid w:val="00D46A96"/>
    <w:rsid w:val="00D472EE"/>
    <w:rsid w:val="00D52A1C"/>
    <w:rsid w:val="00D55BA3"/>
    <w:rsid w:val="00D602EE"/>
    <w:rsid w:val="00D64A18"/>
    <w:rsid w:val="00D659DA"/>
    <w:rsid w:val="00D66F7C"/>
    <w:rsid w:val="00D70CB7"/>
    <w:rsid w:val="00D8378D"/>
    <w:rsid w:val="00D85992"/>
    <w:rsid w:val="00D90B74"/>
    <w:rsid w:val="00D97FB0"/>
    <w:rsid w:val="00DB6E83"/>
    <w:rsid w:val="00DB749B"/>
    <w:rsid w:val="00DE156A"/>
    <w:rsid w:val="00DE1DA2"/>
    <w:rsid w:val="00DE795F"/>
    <w:rsid w:val="00DF117F"/>
    <w:rsid w:val="00DF18C8"/>
    <w:rsid w:val="00DF1D7B"/>
    <w:rsid w:val="00DF218E"/>
    <w:rsid w:val="00DF6D63"/>
    <w:rsid w:val="00DF7FA3"/>
    <w:rsid w:val="00E06A3D"/>
    <w:rsid w:val="00E075C3"/>
    <w:rsid w:val="00E11E9F"/>
    <w:rsid w:val="00E13058"/>
    <w:rsid w:val="00E15AF0"/>
    <w:rsid w:val="00E163AC"/>
    <w:rsid w:val="00E16924"/>
    <w:rsid w:val="00E262EE"/>
    <w:rsid w:val="00E31E8C"/>
    <w:rsid w:val="00E32355"/>
    <w:rsid w:val="00E4141B"/>
    <w:rsid w:val="00E43788"/>
    <w:rsid w:val="00E562BB"/>
    <w:rsid w:val="00E572AC"/>
    <w:rsid w:val="00E60183"/>
    <w:rsid w:val="00E60922"/>
    <w:rsid w:val="00E62FEB"/>
    <w:rsid w:val="00E638BF"/>
    <w:rsid w:val="00E75B0F"/>
    <w:rsid w:val="00E80302"/>
    <w:rsid w:val="00E9227B"/>
    <w:rsid w:val="00E9227D"/>
    <w:rsid w:val="00E92463"/>
    <w:rsid w:val="00E954CE"/>
    <w:rsid w:val="00EB454C"/>
    <w:rsid w:val="00EB61E1"/>
    <w:rsid w:val="00EC6DF7"/>
    <w:rsid w:val="00EC7621"/>
    <w:rsid w:val="00EC7EAF"/>
    <w:rsid w:val="00ED3ACB"/>
    <w:rsid w:val="00ED577C"/>
    <w:rsid w:val="00EE0872"/>
    <w:rsid w:val="00EE1EF3"/>
    <w:rsid w:val="00EF1E31"/>
    <w:rsid w:val="00EF5A54"/>
    <w:rsid w:val="00F01401"/>
    <w:rsid w:val="00F035E8"/>
    <w:rsid w:val="00F10B46"/>
    <w:rsid w:val="00F114EE"/>
    <w:rsid w:val="00F1418A"/>
    <w:rsid w:val="00F22782"/>
    <w:rsid w:val="00F2783A"/>
    <w:rsid w:val="00F31D2D"/>
    <w:rsid w:val="00F31DBB"/>
    <w:rsid w:val="00F32703"/>
    <w:rsid w:val="00F46C6E"/>
    <w:rsid w:val="00F5309E"/>
    <w:rsid w:val="00F54888"/>
    <w:rsid w:val="00F61E0E"/>
    <w:rsid w:val="00F6528D"/>
    <w:rsid w:val="00F66A4D"/>
    <w:rsid w:val="00F73016"/>
    <w:rsid w:val="00F73661"/>
    <w:rsid w:val="00F737B3"/>
    <w:rsid w:val="00F77606"/>
    <w:rsid w:val="00F87675"/>
    <w:rsid w:val="00F96C1F"/>
    <w:rsid w:val="00FA2966"/>
    <w:rsid w:val="00FA40B8"/>
    <w:rsid w:val="00FA581E"/>
    <w:rsid w:val="00FB0E91"/>
    <w:rsid w:val="00FB0FF1"/>
    <w:rsid w:val="00FB45E4"/>
    <w:rsid w:val="00FC0520"/>
    <w:rsid w:val="00FC5BEE"/>
    <w:rsid w:val="00FD0D8F"/>
    <w:rsid w:val="00FD114C"/>
    <w:rsid w:val="00FD24F1"/>
    <w:rsid w:val="00FD7678"/>
    <w:rsid w:val="00FE5FD4"/>
    <w:rsid w:val="00FE6C66"/>
    <w:rsid w:val="00FF2149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80592-4105-4D5C-BB90-5EFE3B70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858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rsid w:val="000F3858"/>
    <w:pPr>
      <w:keepNext/>
      <w:spacing w:before="240" w:after="180"/>
    </w:pPr>
    <w:rPr>
      <w:rFonts w:ascii="Arial" w:hAnsi="Arial"/>
      <w:b/>
      <w:sz w:val="32"/>
    </w:rPr>
  </w:style>
  <w:style w:type="paragraph" w:styleId="NoSpacing">
    <w:name w:val="No Spacing"/>
    <w:uiPriority w:val="1"/>
    <w:qFormat/>
    <w:rsid w:val="00C94977"/>
    <w:pPr>
      <w:spacing w:after="0" w:line="240" w:lineRule="auto"/>
    </w:pPr>
  </w:style>
  <w:style w:type="table" w:styleId="TableGrid">
    <w:name w:val="Table Grid"/>
    <w:basedOn w:val="TableNormal"/>
    <w:uiPriority w:val="39"/>
    <w:rsid w:val="0073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8201</TotalTime>
  <Pages>7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Maree Woods</dc:creator>
  <cp:keywords/>
  <dc:description/>
  <cp:lastModifiedBy>Rachael Maree Woods</cp:lastModifiedBy>
  <cp:revision>21</cp:revision>
  <dcterms:created xsi:type="dcterms:W3CDTF">2015-10-29T05:40:00Z</dcterms:created>
  <dcterms:modified xsi:type="dcterms:W3CDTF">2016-05-09T22:20:00Z</dcterms:modified>
</cp:coreProperties>
</file>