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A7D" w:rsidRDefault="00540A7D" w:rsidP="00540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</w:p>
    <w:p w:rsidR="00540A7D" w:rsidRPr="00540A7D" w:rsidRDefault="00540A7D" w:rsidP="00540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0"/>
          <w:szCs w:val="40"/>
        </w:rPr>
      </w:pPr>
      <w:r w:rsidRPr="00540A7D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0"/>
          <w:szCs w:val="40"/>
        </w:rPr>
        <w:t>Key Findings — COVID-19 Global Impact Dashboard</w:t>
      </w:r>
    </w:p>
    <w:p w:rsidR="00540A7D" w:rsidRPr="00540A7D" w:rsidRDefault="00540A7D" w:rsidP="00540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D"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24"/>
          <w:szCs w:val="24"/>
        </w:rPr>
        <w:t>Global Cases</w:t>
      </w:r>
      <w:r w:rsidRPr="00540A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0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A7D">
        <w:rPr>
          <w:rFonts w:ascii="Times New Roman" w:eastAsia="Times New Roman" w:hAnsi="Times New Roman" w:cs="Times New Roman"/>
          <w:color w:val="8DB3E2" w:themeColor="text2" w:themeTint="66"/>
          <w:sz w:val="24"/>
          <w:szCs w:val="24"/>
        </w:rPr>
        <w:t>The dashboard reports approximately 779 million total COVID-19 cases.</w:t>
      </w:r>
    </w:p>
    <w:p w:rsidR="00540A7D" w:rsidRPr="00540A7D" w:rsidRDefault="00540A7D" w:rsidP="00540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D"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24"/>
          <w:szCs w:val="24"/>
        </w:rPr>
        <w:t>Global Deaths:</w:t>
      </w:r>
      <w:r w:rsidRPr="00540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A7D">
        <w:rPr>
          <w:rFonts w:ascii="Times New Roman" w:eastAsia="Times New Roman" w:hAnsi="Times New Roman" w:cs="Times New Roman"/>
          <w:color w:val="8DB3E2" w:themeColor="text2" w:themeTint="66"/>
          <w:sz w:val="24"/>
          <w:szCs w:val="24"/>
        </w:rPr>
        <w:t>The dashboard reports approximately 7 million total COVID-19 deaths.</w:t>
      </w:r>
    </w:p>
    <w:p w:rsidR="00540A7D" w:rsidRPr="00540A7D" w:rsidRDefault="00540A7D" w:rsidP="00540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8DB3E2" w:themeColor="text2" w:themeTint="66"/>
          <w:sz w:val="24"/>
          <w:szCs w:val="24"/>
        </w:rPr>
      </w:pPr>
      <w:r w:rsidRPr="00540A7D"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24"/>
          <w:szCs w:val="24"/>
        </w:rPr>
        <w:t>Case Fatality Rate</w:t>
      </w:r>
      <w:r w:rsidRPr="00540A7D">
        <w:rPr>
          <w:rFonts w:ascii="Times New Roman" w:eastAsia="Times New Roman" w:hAnsi="Times New Roman" w:cs="Times New Roman"/>
          <w:b/>
          <w:bCs/>
          <w:color w:val="8DB3E2" w:themeColor="text2" w:themeTint="66"/>
          <w:sz w:val="24"/>
          <w:szCs w:val="24"/>
        </w:rPr>
        <w:t>:</w:t>
      </w:r>
      <w:r w:rsidRPr="00540A7D">
        <w:rPr>
          <w:rFonts w:ascii="Times New Roman" w:eastAsia="Times New Roman" w:hAnsi="Times New Roman" w:cs="Times New Roman"/>
          <w:color w:val="8DB3E2" w:themeColor="text2" w:themeTint="66"/>
          <w:sz w:val="24"/>
          <w:szCs w:val="24"/>
        </w:rPr>
        <w:t xml:space="preserve"> The dashboard displays a case fatality rate of approximately 0.91. Confirm whether the measure is formatted as a percentage before reporting it as 0.91%.</w:t>
      </w:r>
    </w:p>
    <w:p w:rsidR="00540A7D" w:rsidRPr="00540A7D" w:rsidRDefault="00540A7D" w:rsidP="00540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A7D"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24"/>
          <w:szCs w:val="24"/>
        </w:rPr>
        <w:t>COVID-19 Trends:</w:t>
      </w:r>
      <w:r w:rsidRPr="00540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A7D">
        <w:rPr>
          <w:rFonts w:ascii="Times New Roman" w:eastAsia="Times New Roman" w:hAnsi="Times New Roman" w:cs="Times New Roman"/>
          <w:color w:val="8DB3E2" w:themeColor="text2" w:themeTint="66"/>
          <w:sz w:val="24"/>
          <w:szCs w:val="24"/>
        </w:rPr>
        <w:t>The cases trend chart shows a major peak around 2022, followed by a decline in the later years displayed.</w:t>
      </w:r>
    </w:p>
    <w:p w:rsidR="00540A7D" w:rsidRPr="00540A7D" w:rsidRDefault="00540A7D" w:rsidP="00540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8DB3E2" w:themeColor="text2" w:themeTint="66"/>
          <w:sz w:val="24"/>
          <w:szCs w:val="24"/>
        </w:rPr>
      </w:pPr>
      <w:r w:rsidRPr="00540A7D"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24"/>
          <w:szCs w:val="24"/>
        </w:rPr>
        <w:t>Country Comparison:</w:t>
      </w:r>
      <w:r w:rsidRPr="00540A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40A7D">
        <w:rPr>
          <w:rFonts w:ascii="Times New Roman" w:eastAsia="Times New Roman" w:hAnsi="Times New Roman" w:cs="Times New Roman"/>
          <w:color w:val="8DB3E2" w:themeColor="text2" w:themeTint="66"/>
          <w:sz w:val="24"/>
          <w:szCs w:val="24"/>
        </w:rPr>
        <w:t>The dashboard compares countries by total cases, fully vaccinated people, and cases per million, highlighting differences in reported COVID-19 impact across countries.</w:t>
      </w:r>
    </w:p>
    <w:p w:rsidR="00540A7D" w:rsidRPr="00540A7D" w:rsidRDefault="00540A7D" w:rsidP="0054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A442A" w:themeColor="background2" w:themeShade="40"/>
          <w:sz w:val="24"/>
          <w:szCs w:val="24"/>
        </w:rPr>
      </w:pPr>
      <w:r w:rsidRPr="00540A7D">
        <w:rPr>
          <w:rFonts w:ascii="Times New Roman" w:eastAsia="Times New Roman" w:hAnsi="Times New Roman" w:cs="Times New Roman"/>
          <w:b/>
          <w:bCs/>
          <w:color w:val="632423" w:themeColor="accent2" w:themeShade="80"/>
          <w:sz w:val="24"/>
          <w:szCs w:val="24"/>
        </w:rPr>
        <w:t>Conclusion:</w:t>
      </w:r>
      <w:r w:rsidRPr="00540A7D">
        <w:rPr>
          <w:rFonts w:ascii="Times New Roman" w:eastAsia="Times New Roman" w:hAnsi="Times New Roman" w:cs="Times New Roman"/>
          <w:color w:val="632423" w:themeColor="accent2" w:themeShade="80"/>
          <w:sz w:val="24"/>
          <w:szCs w:val="24"/>
        </w:rPr>
        <w:t xml:space="preserve"> </w:t>
      </w:r>
      <w:r w:rsidRPr="00540A7D">
        <w:rPr>
          <w:rFonts w:ascii="Times New Roman" w:eastAsia="Times New Roman" w:hAnsi="Times New Roman" w:cs="Times New Roman"/>
          <w:color w:val="4A442A" w:themeColor="background2" w:themeShade="40"/>
          <w:sz w:val="24"/>
          <w:szCs w:val="24"/>
        </w:rPr>
        <w:t>The dashboard helps users explore global COVID-19 trends, compare countries, and understand the distribution of cases, deaths, and vaccination figures over time.</w:t>
      </w:r>
    </w:p>
    <w:p w:rsidR="00440AA5" w:rsidRPr="00540A7D" w:rsidRDefault="00440AA5">
      <w:pPr>
        <w:rPr>
          <w:color w:val="4A442A" w:themeColor="background2" w:themeShade="40"/>
        </w:rPr>
      </w:pPr>
    </w:p>
    <w:sectPr w:rsidR="00440AA5" w:rsidRPr="00540A7D" w:rsidSect="00440A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9744D"/>
    <w:multiLevelType w:val="multilevel"/>
    <w:tmpl w:val="E8EEB0F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298"/>
        </w:tabs>
        <w:ind w:left="1298" w:hanging="360"/>
      </w:pPr>
    </w:lvl>
    <w:lvl w:ilvl="2" w:tentative="1">
      <w:start w:val="1"/>
      <w:numFmt w:val="decimal"/>
      <w:lvlText w:val="%3."/>
      <w:lvlJc w:val="left"/>
      <w:pPr>
        <w:tabs>
          <w:tab w:val="num" w:pos="2018"/>
        </w:tabs>
        <w:ind w:left="2018" w:hanging="360"/>
      </w:pPr>
    </w:lvl>
    <w:lvl w:ilvl="3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entative="1">
      <w:start w:val="1"/>
      <w:numFmt w:val="decimal"/>
      <w:lvlText w:val="%5."/>
      <w:lvlJc w:val="left"/>
      <w:pPr>
        <w:tabs>
          <w:tab w:val="num" w:pos="3458"/>
        </w:tabs>
        <w:ind w:left="3458" w:hanging="360"/>
      </w:pPr>
    </w:lvl>
    <w:lvl w:ilvl="5" w:tentative="1">
      <w:start w:val="1"/>
      <w:numFmt w:val="decimal"/>
      <w:lvlText w:val="%6."/>
      <w:lvlJc w:val="left"/>
      <w:pPr>
        <w:tabs>
          <w:tab w:val="num" w:pos="4178"/>
        </w:tabs>
        <w:ind w:left="4178" w:hanging="360"/>
      </w:pPr>
    </w:lvl>
    <w:lvl w:ilvl="6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entative="1">
      <w:start w:val="1"/>
      <w:numFmt w:val="decimal"/>
      <w:lvlText w:val="%8."/>
      <w:lvlJc w:val="left"/>
      <w:pPr>
        <w:tabs>
          <w:tab w:val="num" w:pos="5618"/>
        </w:tabs>
        <w:ind w:left="5618" w:hanging="360"/>
      </w:pPr>
    </w:lvl>
    <w:lvl w:ilvl="8" w:tentative="1">
      <w:start w:val="1"/>
      <w:numFmt w:val="decimal"/>
      <w:lvlText w:val="%9."/>
      <w:lvlJc w:val="left"/>
      <w:pPr>
        <w:tabs>
          <w:tab w:val="num" w:pos="6338"/>
        </w:tabs>
        <w:ind w:left="6338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compat/>
  <w:rsids>
    <w:rsidRoot w:val="00540A7D"/>
    <w:rsid w:val="00440AA5"/>
    <w:rsid w:val="00540A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AA5"/>
  </w:style>
  <w:style w:type="paragraph" w:styleId="Heading1">
    <w:name w:val="heading 1"/>
    <w:basedOn w:val="Normal"/>
    <w:link w:val="Heading1Char"/>
    <w:uiPriority w:val="9"/>
    <w:qFormat/>
    <w:rsid w:val="00540A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A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40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0A7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01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2026-10-16T10:33:00Z</dcterms:created>
  <dcterms:modified xsi:type="dcterms:W3CDTF">2026-10-16T10:37:00Z</dcterms:modified>
</cp:coreProperties>
</file>