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33181" w14:textId="4399E020" w:rsidR="00091D9F" w:rsidRPr="00D43B32" w:rsidRDefault="00091D9F" w:rsidP="00704560">
      <w:pPr>
        <w:spacing w:after="240" w:line="276" w:lineRule="auto"/>
        <w:jc w:val="center"/>
        <w:rPr>
          <w:b/>
          <w:bCs/>
          <w:lang w:val="en-CA"/>
        </w:rPr>
      </w:pPr>
      <w:r w:rsidRPr="00D43B32">
        <w:rPr>
          <w:b/>
          <w:bCs/>
          <w:lang w:val="en-CA"/>
        </w:rPr>
        <w:t>Should All Women be Given Labour Induction at Term?</w:t>
      </w:r>
    </w:p>
    <w:p w14:paraId="2196942B" w14:textId="454F7FDF" w:rsidR="00B22A66" w:rsidRDefault="00485D5C" w:rsidP="00704560">
      <w:pPr>
        <w:spacing w:after="240" w:line="276" w:lineRule="auto"/>
        <w:ind w:firstLine="720"/>
        <w:rPr>
          <w:lang w:val="en-CA"/>
        </w:rPr>
      </w:pPr>
      <w:r>
        <w:rPr>
          <w:lang w:val="en-CA"/>
        </w:rPr>
        <w:t xml:space="preserve">Giving birth to a child can dramatically affect a woman’s body and health. Although the labour process </w:t>
      </w:r>
      <w:r w:rsidR="00A3428D">
        <w:rPr>
          <w:lang w:val="en-CA"/>
        </w:rPr>
        <w:t xml:space="preserve">often </w:t>
      </w:r>
      <w:r>
        <w:rPr>
          <w:lang w:val="en-CA"/>
        </w:rPr>
        <w:t>is</w:t>
      </w:r>
      <w:r w:rsidR="00A3428D">
        <w:rPr>
          <w:lang w:val="en-CA"/>
        </w:rPr>
        <w:t xml:space="preserve"> expectative, it can be dangerous for the woman and her child </w:t>
      </w:r>
      <w:r w:rsidR="005C3348">
        <w:rPr>
          <w:lang w:val="en-CA"/>
        </w:rPr>
        <w:t>under</w:t>
      </w:r>
      <w:r w:rsidR="00A3428D">
        <w:rPr>
          <w:lang w:val="en-CA"/>
        </w:rPr>
        <w:t xml:space="preserve"> some circumstances. </w:t>
      </w:r>
      <w:r w:rsidR="0076610A">
        <w:rPr>
          <w:lang w:val="en-CA"/>
        </w:rPr>
        <w:t>B</w:t>
      </w:r>
      <w:r w:rsidR="00A3428D">
        <w:rPr>
          <w:lang w:val="en-CA"/>
        </w:rPr>
        <w:t>ase</w:t>
      </w:r>
      <w:r w:rsidR="0076610A">
        <w:rPr>
          <w:lang w:val="en-CA"/>
        </w:rPr>
        <w:t>d</w:t>
      </w:r>
      <w:r w:rsidR="00A3428D">
        <w:rPr>
          <w:lang w:val="en-CA"/>
        </w:rPr>
        <w:t xml:space="preserve"> on the mother’s past pregnancies, healthcare accessibility, and health conditions, her antenatal risk score can be assessed, which will then be used to predict the chances of labour complication and other deadly clinical problems. The measuring scale for antenatal risk score was first introduced by Goodwin et al. in 1969 and was recently validated by Burstyn </w:t>
      </w:r>
      <w:r w:rsidR="007F0AA1">
        <w:rPr>
          <w:lang w:val="en-CA"/>
        </w:rPr>
        <w:t xml:space="preserve">(2010) and Al-Hindi et al. (2020). Using this risk score, </w:t>
      </w:r>
      <w:r w:rsidR="005145DD">
        <w:rPr>
          <w:lang w:val="en-CA"/>
        </w:rPr>
        <w:t xml:space="preserve">maternal </w:t>
      </w:r>
      <w:r w:rsidR="007F0AA1">
        <w:rPr>
          <w:lang w:val="en-CA"/>
        </w:rPr>
        <w:t>healthcare professionals can plan ahead to prepare for a safe delivery, for example, by monitoring and managing the mother’s health a</w:t>
      </w:r>
      <w:r w:rsidR="0076610A">
        <w:rPr>
          <w:lang w:val="en-CA"/>
        </w:rPr>
        <w:t>s well as</w:t>
      </w:r>
      <w:r w:rsidR="007F0AA1">
        <w:rPr>
          <w:lang w:val="en-CA"/>
        </w:rPr>
        <w:t xml:space="preserve"> other external factors and having all necessary interventions ready</w:t>
      </w:r>
      <w:r w:rsidR="0076610A">
        <w:rPr>
          <w:lang w:val="en-CA"/>
        </w:rPr>
        <w:t xml:space="preserve"> </w:t>
      </w:r>
      <w:r w:rsidR="005145DD">
        <w:rPr>
          <w:lang w:val="en-CA"/>
        </w:rPr>
        <w:t>by</w:t>
      </w:r>
      <w:r w:rsidR="0076610A">
        <w:rPr>
          <w:lang w:val="en-CA"/>
        </w:rPr>
        <w:t xml:space="preserve"> the </w:t>
      </w:r>
      <w:r w:rsidR="005145DD">
        <w:rPr>
          <w:lang w:val="en-CA"/>
        </w:rPr>
        <w:t xml:space="preserve">hospital </w:t>
      </w:r>
      <w:r w:rsidR="0076610A">
        <w:rPr>
          <w:lang w:val="en-CA"/>
        </w:rPr>
        <w:t>admission</w:t>
      </w:r>
      <w:r w:rsidR="007F0AA1">
        <w:rPr>
          <w:lang w:val="en-CA"/>
        </w:rPr>
        <w:t>.</w:t>
      </w:r>
      <w:r w:rsidR="00B22A66">
        <w:rPr>
          <w:lang w:val="en-CA"/>
        </w:rPr>
        <w:t xml:space="preserve"> </w:t>
      </w:r>
      <w:r w:rsidR="003761DB">
        <w:rPr>
          <w:lang w:val="en-CA"/>
        </w:rPr>
        <w:t>According to Alberta Health Service, o</w:t>
      </w:r>
      <w:r w:rsidR="007F0AA1">
        <w:rPr>
          <w:lang w:val="en-CA"/>
        </w:rPr>
        <w:t xml:space="preserve">ne of the </w:t>
      </w:r>
      <w:r w:rsidR="0076610A">
        <w:rPr>
          <w:lang w:val="en-CA"/>
        </w:rPr>
        <w:t>most common</w:t>
      </w:r>
      <w:r w:rsidR="00395458">
        <w:rPr>
          <w:lang w:val="en-CA"/>
        </w:rPr>
        <w:t>,</w:t>
      </w:r>
      <w:r w:rsidR="0076610A">
        <w:rPr>
          <w:lang w:val="en-CA"/>
        </w:rPr>
        <w:t xml:space="preserve"> </w:t>
      </w:r>
      <w:r w:rsidR="007F0AA1">
        <w:rPr>
          <w:lang w:val="en-CA"/>
        </w:rPr>
        <w:t>preventive interventions is l</w:t>
      </w:r>
      <w:r>
        <w:rPr>
          <w:lang w:val="en-CA"/>
        </w:rPr>
        <w:t>abour induction</w:t>
      </w:r>
      <w:r w:rsidR="003761DB">
        <w:rPr>
          <w:lang w:val="en-CA"/>
        </w:rPr>
        <w:t xml:space="preserve"> </w:t>
      </w:r>
      <w:r w:rsidR="007F0AA1">
        <w:rPr>
          <w:lang w:val="en-CA"/>
        </w:rPr>
        <w:t xml:space="preserve">– </w:t>
      </w:r>
      <w:r w:rsidR="009E4BF0">
        <w:rPr>
          <w:lang w:val="en-CA"/>
        </w:rPr>
        <w:t>a</w:t>
      </w:r>
      <w:r>
        <w:rPr>
          <w:lang w:val="en-CA"/>
        </w:rPr>
        <w:t xml:space="preserve"> synthetic stimulation </w:t>
      </w:r>
      <w:r w:rsidR="009E4BF0">
        <w:rPr>
          <w:lang w:val="en-CA"/>
        </w:rPr>
        <w:t>that induces</w:t>
      </w:r>
      <w:r>
        <w:rPr>
          <w:lang w:val="en-CA"/>
        </w:rPr>
        <w:t xml:space="preserve"> uterine contraction</w:t>
      </w:r>
      <w:r w:rsidR="005145DD">
        <w:rPr>
          <w:lang w:val="en-CA"/>
        </w:rPr>
        <w:t xml:space="preserve">, </w:t>
      </w:r>
      <w:r w:rsidR="009E4BF0">
        <w:rPr>
          <w:lang w:val="en-CA"/>
        </w:rPr>
        <w:t xml:space="preserve">which is </w:t>
      </w:r>
      <w:r>
        <w:rPr>
          <w:lang w:val="en-CA"/>
        </w:rPr>
        <w:t>given</w:t>
      </w:r>
      <w:r w:rsidR="009E4BF0">
        <w:rPr>
          <w:lang w:val="en-CA"/>
        </w:rPr>
        <w:t xml:space="preserve"> to an expectant mother</w:t>
      </w:r>
      <w:r>
        <w:rPr>
          <w:lang w:val="en-CA"/>
        </w:rPr>
        <w:t xml:space="preserve"> in the end of </w:t>
      </w:r>
      <w:r w:rsidR="009E4BF0">
        <w:rPr>
          <w:lang w:val="en-CA"/>
        </w:rPr>
        <w:t xml:space="preserve">her </w:t>
      </w:r>
      <w:r>
        <w:rPr>
          <w:lang w:val="en-CA"/>
        </w:rPr>
        <w:t>pregnancy</w:t>
      </w:r>
      <w:r w:rsidR="0076610A">
        <w:rPr>
          <w:lang w:val="en-CA"/>
        </w:rPr>
        <w:t xml:space="preserve"> (not earlier than 39 weeks)</w:t>
      </w:r>
      <w:r>
        <w:rPr>
          <w:lang w:val="en-CA"/>
        </w:rPr>
        <w:t xml:space="preserve"> but before </w:t>
      </w:r>
      <w:r w:rsidR="009E4BF0">
        <w:rPr>
          <w:lang w:val="en-CA"/>
        </w:rPr>
        <w:t xml:space="preserve">the </w:t>
      </w:r>
      <w:r>
        <w:rPr>
          <w:lang w:val="en-CA"/>
        </w:rPr>
        <w:t>labour process begi</w:t>
      </w:r>
      <w:r w:rsidR="009E4BF0">
        <w:rPr>
          <w:lang w:val="en-CA"/>
        </w:rPr>
        <w:t>ns,</w:t>
      </w:r>
      <w:r>
        <w:rPr>
          <w:lang w:val="en-CA"/>
        </w:rPr>
        <w:t xml:space="preserve"> to facilitate a safe vaginal birth</w:t>
      </w:r>
      <w:r w:rsidR="00EC7645">
        <w:rPr>
          <w:lang w:val="en-CA"/>
        </w:rPr>
        <w:t xml:space="preserve"> (AHS, 2021)</w:t>
      </w:r>
      <w:r w:rsidR="003761DB">
        <w:rPr>
          <w:lang w:val="en-CA"/>
        </w:rPr>
        <w:t xml:space="preserve">. </w:t>
      </w:r>
      <w:r w:rsidR="00395458">
        <w:rPr>
          <w:lang w:val="en-CA"/>
        </w:rPr>
        <w:t xml:space="preserve">This method often helps to reduce the risk of labour complication in pregnant women with health issues (e.g., diabetes, hypertension, </w:t>
      </w:r>
      <w:r w:rsidR="00D43B32">
        <w:rPr>
          <w:lang w:val="en-CA"/>
        </w:rPr>
        <w:t xml:space="preserve">serious </w:t>
      </w:r>
      <w:r w:rsidR="00395458">
        <w:rPr>
          <w:lang w:val="en-CA"/>
        </w:rPr>
        <w:t>infection</w:t>
      </w:r>
      <w:r w:rsidR="00D43B32">
        <w:rPr>
          <w:lang w:val="en-CA"/>
        </w:rPr>
        <w:t>s</w:t>
      </w:r>
      <w:r w:rsidR="00395458">
        <w:rPr>
          <w:lang w:val="en-CA"/>
        </w:rPr>
        <w:t>, or lung diseases) that may threaten the mother and child’s life if the pre</w:t>
      </w:r>
      <w:r w:rsidR="003761DB">
        <w:rPr>
          <w:lang w:val="en-CA"/>
        </w:rPr>
        <w:t xml:space="preserve">gnancy continues. Sometimes, a doctor may prescribe inducing labour for non-medical reasons such as </w:t>
      </w:r>
      <w:r w:rsidR="00AB5843">
        <w:rPr>
          <w:lang w:val="en-CA"/>
        </w:rPr>
        <w:t>the</w:t>
      </w:r>
      <w:r w:rsidR="003761DB">
        <w:rPr>
          <w:lang w:val="en-CA"/>
        </w:rPr>
        <w:t xml:space="preserve"> pregnant woman living too far from healthcare facilities, having </w:t>
      </w:r>
      <w:r w:rsidR="003761DB" w:rsidRPr="003761DB">
        <w:rPr>
          <w:lang w:val="en-CA"/>
        </w:rPr>
        <w:t xml:space="preserve">pregnancy gone </w:t>
      </w:r>
      <w:r w:rsidR="003761DB">
        <w:rPr>
          <w:lang w:val="en-CA"/>
        </w:rPr>
        <w:t>one</w:t>
      </w:r>
      <w:r w:rsidR="003761DB" w:rsidRPr="003761DB">
        <w:rPr>
          <w:lang w:val="en-CA"/>
        </w:rPr>
        <w:t xml:space="preserve"> to </w:t>
      </w:r>
      <w:r w:rsidR="003761DB">
        <w:rPr>
          <w:lang w:val="en-CA"/>
        </w:rPr>
        <w:t>two</w:t>
      </w:r>
      <w:r w:rsidR="003761DB" w:rsidRPr="003761DB">
        <w:rPr>
          <w:lang w:val="en-CA"/>
        </w:rPr>
        <w:t xml:space="preserve"> weeks past the estimated due date</w:t>
      </w:r>
      <w:r w:rsidR="003761DB">
        <w:rPr>
          <w:lang w:val="en-CA"/>
        </w:rPr>
        <w:t>, or</w:t>
      </w:r>
      <w:r w:rsidR="0059265F">
        <w:rPr>
          <w:lang w:val="en-CA"/>
        </w:rPr>
        <w:t xml:space="preserve"> simply choosing</w:t>
      </w:r>
      <w:r w:rsidR="003761DB">
        <w:rPr>
          <w:lang w:val="en-CA"/>
        </w:rPr>
        <w:t xml:space="preserve"> to have </w:t>
      </w:r>
      <w:r w:rsidR="0059265F">
        <w:rPr>
          <w:lang w:val="en-CA"/>
        </w:rPr>
        <w:t xml:space="preserve">an </w:t>
      </w:r>
      <w:r w:rsidR="003761DB">
        <w:rPr>
          <w:lang w:val="en-CA"/>
        </w:rPr>
        <w:t>elective induction</w:t>
      </w:r>
      <w:r w:rsidR="00AB5843">
        <w:rPr>
          <w:lang w:val="en-CA"/>
        </w:rPr>
        <w:t xml:space="preserve"> (AHS, 2021)</w:t>
      </w:r>
      <w:r w:rsidR="003761DB">
        <w:rPr>
          <w:lang w:val="en-CA"/>
        </w:rPr>
        <w:t>.</w:t>
      </w:r>
      <w:r w:rsidR="00B22A66">
        <w:rPr>
          <w:lang w:val="en-CA"/>
        </w:rPr>
        <w:t xml:space="preserve"> </w:t>
      </w:r>
    </w:p>
    <w:p w14:paraId="5FF87271" w14:textId="3FEBBB5C" w:rsidR="002476D6" w:rsidRPr="002476D6" w:rsidRDefault="00B22A66" w:rsidP="002476D6">
      <w:pPr>
        <w:spacing w:after="240" w:line="276" w:lineRule="auto"/>
        <w:ind w:firstLine="720"/>
        <w:rPr>
          <w:lang w:val="en-CA"/>
        </w:rPr>
      </w:pPr>
      <w:r>
        <w:rPr>
          <w:lang w:val="en-CA"/>
        </w:rPr>
        <w:t xml:space="preserve">Having </w:t>
      </w:r>
      <w:r w:rsidR="002E0D3F">
        <w:rPr>
          <w:lang w:val="en-CA"/>
        </w:rPr>
        <w:t xml:space="preserve">several </w:t>
      </w:r>
      <w:r>
        <w:rPr>
          <w:lang w:val="en-CA"/>
        </w:rPr>
        <w:t>life-saving benefit</w:t>
      </w:r>
      <w:r w:rsidR="002E0D3F">
        <w:rPr>
          <w:lang w:val="en-CA"/>
        </w:rPr>
        <w:t>s</w:t>
      </w:r>
      <w:r>
        <w:rPr>
          <w:lang w:val="en-CA"/>
        </w:rPr>
        <w:t xml:space="preserve">, especially </w:t>
      </w:r>
      <w:r w:rsidR="002E0D3F">
        <w:rPr>
          <w:lang w:val="en-CA"/>
        </w:rPr>
        <w:t>in</w:t>
      </w:r>
      <w:r>
        <w:rPr>
          <w:lang w:val="en-CA"/>
        </w:rPr>
        <w:t xml:space="preserve"> case</w:t>
      </w:r>
      <w:r w:rsidR="002E0D3F">
        <w:rPr>
          <w:lang w:val="en-CA"/>
        </w:rPr>
        <w:t>s with severe chronic diseases</w:t>
      </w:r>
      <w:r>
        <w:rPr>
          <w:lang w:val="en-CA"/>
        </w:rPr>
        <w:t xml:space="preserve">, labour induction </w:t>
      </w:r>
      <w:r w:rsidR="00AB5843">
        <w:rPr>
          <w:lang w:val="en-CA"/>
        </w:rPr>
        <w:t>can be</w:t>
      </w:r>
      <w:r>
        <w:rPr>
          <w:lang w:val="en-CA"/>
        </w:rPr>
        <w:t xml:space="preserve"> overused</w:t>
      </w:r>
      <w:r w:rsidR="00AB5843">
        <w:rPr>
          <w:lang w:val="en-CA"/>
        </w:rPr>
        <w:t>.</w:t>
      </w:r>
      <w:r w:rsidR="002E0D3F">
        <w:rPr>
          <w:lang w:val="en-CA"/>
        </w:rPr>
        <w:t xml:space="preserve"> </w:t>
      </w:r>
      <w:r w:rsidR="00AB5843">
        <w:rPr>
          <w:lang w:val="en-CA"/>
        </w:rPr>
        <w:t>More</w:t>
      </w:r>
      <w:r>
        <w:rPr>
          <w:lang w:val="en-CA"/>
        </w:rPr>
        <w:t xml:space="preserve"> women </w:t>
      </w:r>
      <w:r w:rsidR="002E0D3F">
        <w:rPr>
          <w:lang w:val="en-CA"/>
        </w:rPr>
        <w:t xml:space="preserve">are </w:t>
      </w:r>
      <w:r>
        <w:rPr>
          <w:lang w:val="en-CA"/>
        </w:rPr>
        <w:t>receiv</w:t>
      </w:r>
      <w:r w:rsidR="002E0D3F">
        <w:rPr>
          <w:lang w:val="en-CA"/>
        </w:rPr>
        <w:t>ing</w:t>
      </w:r>
      <w:r>
        <w:rPr>
          <w:lang w:val="en-CA"/>
        </w:rPr>
        <w:t xml:space="preserve"> the stimulation </w:t>
      </w:r>
      <w:r w:rsidR="00AB5843">
        <w:rPr>
          <w:lang w:val="en-CA"/>
        </w:rPr>
        <w:t>even when</w:t>
      </w:r>
      <w:r>
        <w:rPr>
          <w:lang w:val="en-CA"/>
        </w:rPr>
        <w:t xml:space="preserve"> </w:t>
      </w:r>
      <w:r w:rsidR="00AB5843">
        <w:rPr>
          <w:lang w:val="en-CA"/>
        </w:rPr>
        <w:t>their conditions are suitable for natural labour</w:t>
      </w:r>
      <w:r w:rsidR="002E0D3F">
        <w:rPr>
          <w:lang w:val="en-CA"/>
        </w:rPr>
        <w:t xml:space="preserve"> </w:t>
      </w:r>
      <w:r w:rsidR="00AB5843">
        <w:rPr>
          <w:lang w:val="en-CA"/>
        </w:rPr>
        <w:t>(</w:t>
      </w:r>
      <w:proofErr w:type="spellStart"/>
      <w:r w:rsidR="002E0D3F" w:rsidRPr="002E0D3F">
        <w:rPr>
          <w:lang w:val="en-CA"/>
        </w:rPr>
        <w:t>Seijmonsbergen-Schermers</w:t>
      </w:r>
      <w:proofErr w:type="spellEnd"/>
      <w:r w:rsidR="002E0D3F">
        <w:rPr>
          <w:lang w:val="en-CA"/>
        </w:rPr>
        <w:t xml:space="preserve">, </w:t>
      </w:r>
      <w:proofErr w:type="spellStart"/>
      <w:r w:rsidR="002E0D3F">
        <w:rPr>
          <w:lang w:val="en-CA"/>
        </w:rPr>
        <w:t>S</w:t>
      </w:r>
      <w:r w:rsidR="002E0D3F" w:rsidRPr="002E0D3F">
        <w:rPr>
          <w:lang w:val="en-CA"/>
        </w:rPr>
        <w:t>cherjon</w:t>
      </w:r>
      <w:proofErr w:type="spellEnd"/>
      <w:r w:rsidR="002E0D3F">
        <w:rPr>
          <w:lang w:val="en-CA"/>
        </w:rPr>
        <w:t xml:space="preserve">, </w:t>
      </w:r>
      <w:r w:rsidR="00DD1DEF">
        <w:rPr>
          <w:lang w:val="en-CA"/>
        </w:rPr>
        <w:t>&amp;</w:t>
      </w:r>
      <w:r w:rsidR="002E0D3F">
        <w:rPr>
          <w:lang w:val="en-CA"/>
        </w:rPr>
        <w:t xml:space="preserve"> </w:t>
      </w:r>
      <w:r w:rsidR="002E0D3F">
        <w:rPr>
          <w:rFonts w:eastAsia="Times New Roman"/>
          <w:lang w:val="en-CA"/>
        </w:rPr>
        <w:t>D</w:t>
      </w:r>
      <w:r w:rsidR="002E0D3F" w:rsidRPr="002E0D3F">
        <w:rPr>
          <w:rFonts w:eastAsia="Times New Roman"/>
          <w:lang w:val="en-CA"/>
        </w:rPr>
        <w:t xml:space="preserve">e </w:t>
      </w:r>
      <w:proofErr w:type="spellStart"/>
      <w:r w:rsidR="002E0D3F">
        <w:rPr>
          <w:rFonts w:eastAsia="Times New Roman"/>
          <w:lang w:val="en-CA"/>
        </w:rPr>
        <w:t>J</w:t>
      </w:r>
      <w:r w:rsidR="002E0D3F" w:rsidRPr="002E0D3F">
        <w:rPr>
          <w:rFonts w:eastAsia="Times New Roman"/>
          <w:lang w:val="en-CA"/>
        </w:rPr>
        <w:t>onge</w:t>
      </w:r>
      <w:proofErr w:type="spellEnd"/>
      <w:r w:rsidR="002E0D3F">
        <w:rPr>
          <w:rFonts w:eastAsia="Times New Roman"/>
          <w:lang w:val="en-CA"/>
        </w:rPr>
        <w:t>, 2019)</w:t>
      </w:r>
      <w:r>
        <w:rPr>
          <w:lang w:val="en-CA"/>
        </w:rPr>
        <w:t>.</w:t>
      </w:r>
      <w:r w:rsidR="002E0D3F">
        <w:rPr>
          <w:lang w:val="en-CA"/>
        </w:rPr>
        <w:t xml:space="preserve"> Indeed, healthy women undergone unnecessary labour induction may face unwanted side effects of the inducing medicines </w:t>
      </w:r>
      <w:r w:rsidR="00AB5843">
        <w:rPr>
          <w:lang w:val="en-CA"/>
        </w:rPr>
        <w:t>such as</w:t>
      </w:r>
      <w:r w:rsidR="002E0D3F">
        <w:rPr>
          <w:lang w:val="en-CA"/>
        </w:rPr>
        <w:t xml:space="preserve"> post-delivery bleeding </w:t>
      </w:r>
      <w:r w:rsidR="00AB5843">
        <w:rPr>
          <w:lang w:val="en-CA"/>
        </w:rPr>
        <w:t>or</w:t>
      </w:r>
      <w:r w:rsidR="002E0D3F">
        <w:rPr>
          <w:lang w:val="en-CA"/>
        </w:rPr>
        <w:t xml:space="preserve"> low heart rate, post-procedure infections, and serious consequences of failed induction such as uterine rupture</w:t>
      </w:r>
      <w:r w:rsidR="00794C0D">
        <w:rPr>
          <w:lang w:val="en-CA"/>
        </w:rPr>
        <w:t xml:space="preserve"> (Mayo Clinic, 2021)</w:t>
      </w:r>
      <w:r w:rsidR="002E0D3F">
        <w:rPr>
          <w:lang w:val="en-CA"/>
        </w:rPr>
        <w:t>. In addition to that,</w:t>
      </w:r>
      <w:r w:rsidR="00794C0D">
        <w:rPr>
          <w:lang w:val="en-CA"/>
        </w:rPr>
        <w:t xml:space="preserve"> unnecessary</w:t>
      </w:r>
      <w:r w:rsidR="002E0D3F">
        <w:rPr>
          <w:lang w:val="en-CA"/>
        </w:rPr>
        <w:t xml:space="preserve"> </w:t>
      </w:r>
      <w:r w:rsidR="00794C0D">
        <w:rPr>
          <w:lang w:val="en-CA"/>
        </w:rPr>
        <w:t xml:space="preserve">labour induction can place more burden on maternal healthcare resources, as induced women have to be in hospital beds for days to be </w:t>
      </w:r>
      <w:r w:rsidR="0059265F">
        <w:rPr>
          <w:lang w:val="en-CA"/>
        </w:rPr>
        <w:t>medically assessed, monitored</w:t>
      </w:r>
      <w:r w:rsidR="00794C0D">
        <w:rPr>
          <w:lang w:val="en-CA"/>
        </w:rPr>
        <w:t xml:space="preserve"> </w:t>
      </w:r>
      <w:r w:rsidR="0059265F">
        <w:rPr>
          <w:lang w:val="en-CA"/>
        </w:rPr>
        <w:t>and/</w:t>
      </w:r>
      <w:r w:rsidR="00794C0D">
        <w:rPr>
          <w:lang w:val="en-CA"/>
        </w:rPr>
        <w:t xml:space="preserve">or </w:t>
      </w:r>
      <w:r w:rsidR="0059265F">
        <w:rPr>
          <w:lang w:val="en-CA"/>
        </w:rPr>
        <w:t xml:space="preserve">in </w:t>
      </w:r>
      <w:r w:rsidR="00794C0D">
        <w:rPr>
          <w:lang w:val="en-CA"/>
        </w:rPr>
        <w:t>wait</w:t>
      </w:r>
      <w:r w:rsidR="0059265F">
        <w:rPr>
          <w:lang w:val="en-CA"/>
        </w:rPr>
        <w:t>ing</w:t>
      </w:r>
      <w:r w:rsidR="00794C0D">
        <w:rPr>
          <w:lang w:val="en-CA"/>
        </w:rPr>
        <w:t xml:space="preserve"> for the procedure</w:t>
      </w:r>
      <w:r w:rsidR="00AA662C">
        <w:rPr>
          <w:lang w:val="en-CA"/>
        </w:rPr>
        <w:t xml:space="preserve"> (</w:t>
      </w:r>
      <w:proofErr w:type="spellStart"/>
      <w:r w:rsidR="00AA662C" w:rsidRPr="002E0D3F">
        <w:rPr>
          <w:lang w:val="en-CA"/>
        </w:rPr>
        <w:t>Seijmonsbergen-Schermers</w:t>
      </w:r>
      <w:proofErr w:type="spellEnd"/>
      <w:r w:rsidR="00AA662C">
        <w:rPr>
          <w:lang w:val="en-CA"/>
        </w:rPr>
        <w:t xml:space="preserve"> et al., 2019)</w:t>
      </w:r>
      <w:r w:rsidR="00794C0D">
        <w:rPr>
          <w:lang w:val="en-CA"/>
        </w:rPr>
        <w:t xml:space="preserve">. </w:t>
      </w:r>
      <w:r w:rsidR="003A594E">
        <w:rPr>
          <w:lang w:val="en-CA"/>
        </w:rPr>
        <w:t xml:space="preserve">Therefore, it is essential to study and evaluate labour induction’s effectiveness in preventing birth complication and other causes of mother and child’s mortality </w:t>
      </w:r>
      <w:r w:rsidR="00AB5843">
        <w:rPr>
          <w:lang w:val="en-CA"/>
        </w:rPr>
        <w:t xml:space="preserve">as well as potential harms </w:t>
      </w:r>
      <w:r w:rsidR="003A594E">
        <w:rPr>
          <w:lang w:val="en-CA"/>
        </w:rPr>
        <w:t xml:space="preserve">on both pregnant women with high antenatal risk scores and those who are at low </w:t>
      </w:r>
      <w:r w:rsidR="0059265F">
        <w:rPr>
          <w:lang w:val="en-CA"/>
        </w:rPr>
        <w:t xml:space="preserve">or minimal </w:t>
      </w:r>
      <w:r w:rsidR="003A594E">
        <w:rPr>
          <w:lang w:val="en-CA"/>
        </w:rPr>
        <w:t>risk.</w:t>
      </w:r>
      <w:r w:rsidR="002476D6">
        <w:rPr>
          <w:lang w:val="en-CA"/>
        </w:rPr>
        <w:br/>
      </w:r>
    </w:p>
    <w:p w14:paraId="7F4E7246" w14:textId="2490BEE7" w:rsidR="00D43B32" w:rsidRPr="00D43B32" w:rsidRDefault="00D43B32" w:rsidP="00704560">
      <w:pPr>
        <w:spacing w:before="120" w:after="240" w:line="276" w:lineRule="auto"/>
        <w:rPr>
          <w:b/>
          <w:bCs/>
          <w:lang w:val="en-CA"/>
        </w:rPr>
      </w:pPr>
      <w:r w:rsidRPr="00D43B32">
        <w:rPr>
          <w:b/>
          <w:bCs/>
          <w:lang w:val="en-CA"/>
        </w:rPr>
        <w:t>Research Question</w:t>
      </w:r>
    </w:p>
    <w:p w14:paraId="18D8FAAE" w14:textId="7ECD333D" w:rsidR="0002178A" w:rsidRPr="000E1995" w:rsidRDefault="00D43B32" w:rsidP="00704560">
      <w:pPr>
        <w:spacing w:after="240" w:line="276" w:lineRule="auto"/>
        <w:rPr>
          <w:lang w:val="en-CA"/>
        </w:rPr>
      </w:pPr>
      <w:r>
        <w:rPr>
          <w:lang w:val="en-CA"/>
        </w:rPr>
        <w:tab/>
      </w:r>
      <w:r w:rsidR="00F87A08">
        <w:rPr>
          <w:lang w:val="en-CA"/>
        </w:rPr>
        <w:t>The objective</w:t>
      </w:r>
      <w:r w:rsidR="009A4F7A">
        <w:rPr>
          <w:lang w:val="en-CA"/>
        </w:rPr>
        <w:t>s</w:t>
      </w:r>
      <w:r w:rsidR="00F87A08">
        <w:rPr>
          <w:lang w:val="en-CA"/>
        </w:rPr>
        <w:t xml:space="preserve"> of this project </w:t>
      </w:r>
      <w:r w:rsidR="009A4F7A">
        <w:rPr>
          <w:lang w:val="en-CA"/>
        </w:rPr>
        <w:t>are</w:t>
      </w:r>
      <w:r w:rsidR="00F87A08">
        <w:rPr>
          <w:lang w:val="en-CA"/>
        </w:rPr>
        <w:t xml:space="preserve"> </w:t>
      </w:r>
      <w:r w:rsidR="009A4F7A">
        <w:rPr>
          <w:lang w:val="en-CA"/>
        </w:rPr>
        <w:t xml:space="preserve">(1) </w:t>
      </w:r>
      <w:r w:rsidR="00F87A08">
        <w:rPr>
          <w:lang w:val="en-CA"/>
        </w:rPr>
        <w:t xml:space="preserve">to validate the relationship between Albertan pregnant women’s antenatal risk scores and </w:t>
      </w:r>
      <w:r w:rsidR="009A4F7A">
        <w:rPr>
          <w:lang w:val="en-CA"/>
        </w:rPr>
        <w:t xml:space="preserve">their </w:t>
      </w:r>
      <w:r w:rsidR="001C63F5">
        <w:rPr>
          <w:lang w:val="en-CA"/>
        </w:rPr>
        <w:t>obstetrical</w:t>
      </w:r>
      <w:r w:rsidR="009A4F7A">
        <w:rPr>
          <w:lang w:val="en-CA"/>
        </w:rPr>
        <w:t xml:space="preserve"> </w:t>
      </w:r>
      <w:r w:rsidR="001C63F5">
        <w:rPr>
          <w:lang w:val="en-CA"/>
        </w:rPr>
        <w:t>outcomes</w:t>
      </w:r>
      <w:r w:rsidR="005A73AF">
        <w:rPr>
          <w:lang w:val="en-CA"/>
        </w:rPr>
        <w:t xml:space="preserve"> </w:t>
      </w:r>
      <w:r w:rsidR="009A4F7A">
        <w:rPr>
          <w:lang w:val="en-CA"/>
        </w:rPr>
        <w:t xml:space="preserve">as well as (2) to assess the </w:t>
      </w:r>
      <w:r w:rsidR="009A4F7A">
        <w:rPr>
          <w:lang w:val="en-CA"/>
        </w:rPr>
        <w:lastRenderedPageBreak/>
        <w:t xml:space="preserve">effect modification of labour induction on that relationship. Particularly, my first hypothesis is </w:t>
      </w:r>
      <w:r w:rsidR="006D0608">
        <w:rPr>
          <w:lang w:val="en-CA"/>
        </w:rPr>
        <w:t xml:space="preserve">that </w:t>
      </w:r>
      <w:r w:rsidR="009A4F7A">
        <w:rPr>
          <w:lang w:val="en-CA"/>
        </w:rPr>
        <w:t xml:space="preserve">women who had higher risk scores were more likely to have adverse outcomes (e.g., </w:t>
      </w:r>
      <w:r w:rsidR="006D0608">
        <w:rPr>
          <w:lang w:val="en-CA"/>
        </w:rPr>
        <w:t xml:space="preserve">death, birth </w:t>
      </w:r>
      <w:r w:rsidR="009A4F7A">
        <w:rPr>
          <w:lang w:val="en-CA"/>
        </w:rPr>
        <w:t xml:space="preserve">complication, or other conditions that resulted in </w:t>
      </w:r>
      <w:r w:rsidR="00257058">
        <w:rPr>
          <w:lang w:val="en-CA"/>
        </w:rPr>
        <w:t>longer stay in bed</w:t>
      </w:r>
      <w:r w:rsidR="009A4F7A">
        <w:rPr>
          <w:lang w:val="en-CA"/>
        </w:rPr>
        <w:t>). Secondly, high risk women who had received induction prior to admission</w:t>
      </w:r>
      <w:r w:rsidR="006D0608">
        <w:rPr>
          <w:lang w:val="en-CA"/>
        </w:rPr>
        <w:t xml:space="preserve"> are expected to </w:t>
      </w:r>
      <w:r w:rsidR="00673686">
        <w:rPr>
          <w:lang w:val="en-CA"/>
        </w:rPr>
        <w:t>show less severe outcomes than those who had not been labour induced.</w:t>
      </w:r>
      <w:r w:rsidR="0002178A">
        <w:rPr>
          <w:lang w:val="en-CA"/>
        </w:rPr>
        <w:t xml:space="preserve"> Thirdly, for women who were at minimal </w:t>
      </w:r>
      <w:r w:rsidR="00DF54FA">
        <w:rPr>
          <w:lang w:val="en-CA"/>
        </w:rPr>
        <w:t xml:space="preserve">or no </w:t>
      </w:r>
      <w:r w:rsidR="0002178A">
        <w:rPr>
          <w:lang w:val="en-CA"/>
        </w:rPr>
        <w:t>antennal risk, it is hypothesized that inducing labour would not change the likelihood of unwanted outcomes.</w:t>
      </w:r>
      <w:r w:rsidR="002476D6">
        <w:rPr>
          <w:lang w:val="en-CA"/>
        </w:rPr>
        <w:br/>
      </w:r>
    </w:p>
    <w:p w14:paraId="705C1DCE" w14:textId="77777777" w:rsidR="0002178A" w:rsidRDefault="0002178A" w:rsidP="00704560">
      <w:pPr>
        <w:spacing w:after="240" w:line="276" w:lineRule="auto"/>
        <w:rPr>
          <w:b/>
          <w:bCs/>
          <w:lang w:val="en-CA"/>
        </w:rPr>
      </w:pPr>
      <w:r w:rsidRPr="0002178A">
        <w:rPr>
          <w:b/>
          <w:bCs/>
          <w:lang w:val="en-CA"/>
        </w:rPr>
        <w:t>Methods</w:t>
      </w:r>
    </w:p>
    <w:p w14:paraId="4F8328CF" w14:textId="2443A00E" w:rsidR="005A73AF" w:rsidRDefault="0002178A" w:rsidP="00704560">
      <w:pPr>
        <w:spacing w:after="240" w:line="276" w:lineRule="auto"/>
        <w:rPr>
          <w:lang w:val="en-CA"/>
        </w:rPr>
      </w:pPr>
      <w:r>
        <w:rPr>
          <w:lang w:val="en-CA"/>
        </w:rPr>
        <w:tab/>
      </w:r>
      <w:r w:rsidR="00EC7645">
        <w:rPr>
          <w:lang w:val="en-CA"/>
        </w:rPr>
        <w:t xml:space="preserve">A (retrospective) case control study will be conducted to test the proposed hypotheses on </w:t>
      </w:r>
      <w:r w:rsidR="008912D3">
        <w:rPr>
          <w:lang w:val="en-CA"/>
        </w:rPr>
        <w:t>AHS’s sample set of inpatient hospitalization data for th</w:t>
      </w:r>
      <w:r w:rsidR="005A73AF">
        <w:rPr>
          <w:lang w:val="en-CA"/>
        </w:rPr>
        <w:t>ree</w:t>
      </w:r>
      <w:r w:rsidR="008912D3">
        <w:rPr>
          <w:lang w:val="en-CA"/>
        </w:rPr>
        <w:t xml:space="preserve"> fiscal year</w:t>
      </w:r>
      <w:r w:rsidR="005A73AF">
        <w:rPr>
          <w:lang w:val="en-CA"/>
        </w:rPr>
        <w:t>s from 2007/08 to</w:t>
      </w:r>
      <w:r w:rsidR="008912D3">
        <w:rPr>
          <w:lang w:val="en-CA"/>
        </w:rPr>
        <w:t xml:space="preserve"> 2009/10</w:t>
      </w:r>
      <w:r w:rsidR="00F35A68">
        <w:rPr>
          <w:lang w:val="en-CA"/>
        </w:rPr>
        <w:t xml:space="preserve"> (i.e., from March 200</w:t>
      </w:r>
      <w:r w:rsidR="005A73AF">
        <w:rPr>
          <w:lang w:val="en-CA"/>
        </w:rPr>
        <w:t>7</w:t>
      </w:r>
      <w:r w:rsidR="00F35A68">
        <w:rPr>
          <w:lang w:val="en-CA"/>
        </w:rPr>
        <w:t xml:space="preserve"> to March 2010)</w:t>
      </w:r>
      <w:r w:rsidR="008912D3">
        <w:rPr>
          <w:lang w:val="en-CA"/>
        </w:rPr>
        <w:t xml:space="preserve">. This discharge abstract data contains records of </w:t>
      </w:r>
      <w:r w:rsidR="005A73AF" w:rsidRPr="005A73AF">
        <w:rPr>
          <w:lang w:val="en-CA"/>
        </w:rPr>
        <w:t>28862</w:t>
      </w:r>
      <w:r w:rsidR="001C63F5">
        <w:rPr>
          <w:lang w:val="en-CA"/>
        </w:rPr>
        <w:t xml:space="preserve"> </w:t>
      </w:r>
      <w:r w:rsidR="008912D3">
        <w:rPr>
          <w:lang w:val="en-CA"/>
        </w:rPr>
        <w:t xml:space="preserve">Albertan pregnant women </w:t>
      </w:r>
      <w:r w:rsidR="00E0088D">
        <w:rPr>
          <w:lang w:val="en-CA"/>
        </w:rPr>
        <w:t xml:space="preserve">(from </w:t>
      </w:r>
      <w:r w:rsidR="005A73AF">
        <w:rPr>
          <w:lang w:val="en-CA"/>
        </w:rPr>
        <w:t>13</w:t>
      </w:r>
      <w:r w:rsidR="00E0088D">
        <w:rPr>
          <w:lang w:val="en-CA"/>
        </w:rPr>
        <w:t xml:space="preserve"> to </w:t>
      </w:r>
      <w:r w:rsidR="005A73AF">
        <w:rPr>
          <w:lang w:val="en-CA"/>
        </w:rPr>
        <w:t>60</w:t>
      </w:r>
      <w:r w:rsidR="00E0088D">
        <w:rPr>
          <w:lang w:val="en-CA"/>
        </w:rPr>
        <w:t xml:space="preserve"> years old, </w:t>
      </w:r>
      <w:r w:rsidR="00E0088D" w:rsidRPr="00E0088D">
        <w:rPr>
          <w:i/>
          <w:iCs/>
          <w:lang w:val="en-CA"/>
        </w:rPr>
        <w:t>mean</w:t>
      </w:r>
      <w:r w:rsidR="00E0088D">
        <w:rPr>
          <w:lang w:val="en-CA"/>
        </w:rPr>
        <w:t xml:space="preserve"> </w:t>
      </w:r>
      <m:oMath>
        <m:r>
          <w:rPr>
            <w:rFonts w:ascii="Cambria Math" w:hAnsi="Cambria Math"/>
            <w:lang w:val="en-CA"/>
          </w:rPr>
          <m:t>≃</m:t>
        </m:r>
      </m:oMath>
      <w:r w:rsidR="00D96246">
        <w:rPr>
          <w:rFonts w:eastAsiaTheme="minorEastAsia"/>
          <w:lang w:val="en-CA"/>
        </w:rPr>
        <w:t xml:space="preserve"> </w:t>
      </w:r>
      <w:r w:rsidR="005A73AF">
        <w:rPr>
          <w:lang w:val="en-CA"/>
        </w:rPr>
        <w:t>29</w:t>
      </w:r>
      <w:r w:rsidR="00D96246">
        <w:rPr>
          <w:lang w:val="en-CA"/>
        </w:rPr>
        <w:t xml:space="preserve"> years</w:t>
      </w:r>
      <w:r w:rsidR="00E0088D">
        <w:rPr>
          <w:lang w:val="en-CA"/>
        </w:rPr>
        <w:t xml:space="preserve">, </w:t>
      </w:r>
      <w:proofErr w:type="spellStart"/>
      <w:r w:rsidR="00E0088D" w:rsidRPr="00E0088D">
        <w:rPr>
          <w:i/>
          <w:iCs/>
          <w:lang w:val="en-CA"/>
        </w:rPr>
        <w:t>sd</w:t>
      </w:r>
      <w:proofErr w:type="spellEnd"/>
      <w:r w:rsidR="00E0088D">
        <w:rPr>
          <w:lang w:val="en-CA"/>
        </w:rPr>
        <w:t xml:space="preserve"> </w:t>
      </w:r>
      <m:oMath>
        <m:r>
          <w:rPr>
            <w:rFonts w:ascii="Cambria Math" w:hAnsi="Cambria Math"/>
            <w:lang w:val="en-CA"/>
          </w:rPr>
          <m:t>≃</m:t>
        </m:r>
      </m:oMath>
      <w:r w:rsidR="00E0088D">
        <w:rPr>
          <w:lang w:val="en-CA"/>
        </w:rPr>
        <w:t xml:space="preserve"> </w:t>
      </w:r>
      <w:r w:rsidR="005A73AF">
        <w:rPr>
          <w:lang w:val="en-CA"/>
        </w:rPr>
        <w:t>6</w:t>
      </w:r>
      <w:r w:rsidR="00D96246">
        <w:rPr>
          <w:lang w:val="en-CA"/>
        </w:rPr>
        <w:t xml:space="preserve"> years</w:t>
      </w:r>
      <w:r w:rsidR="00E0088D">
        <w:rPr>
          <w:lang w:val="en-CA"/>
        </w:rPr>
        <w:t xml:space="preserve">) </w:t>
      </w:r>
      <w:r w:rsidR="008912D3">
        <w:rPr>
          <w:lang w:val="en-CA"/>
        </w:rPr>
        <w:t>who had their antenatal risk scores documented.</w:t>
      </w:r>
      <w:r w:rsidR="00CC4AC4">
        <w:rPr>
          <w:lang w:val="en-CA"/>
        </w:rPr>
        <w:t xml:space="preserve"> </w:t>
      </w:r>
      <w:r w:rsidR="005405EB">
        <w:rPr>
          <w:lang w:val="en-CA"/>
        </w:rPr>
        <w:t>These</w:t>
      </w:r>
      <w:r w:rsidR="00CC4AC4">
        <w:rPr>
          <w:lang w:val="en-CA"/>
        </w:rPr>
        <w:t xml:space="preserve"> scores are integers ranging from 0 to </w:t>
      </w:r>
      <w:r w:rsidR="005405EB">
        <w:rPr>
          <w:lang w:val="en-CA"/>
        </w:rPr>
        <w:t>99</w:t>
      </w:r>
      <w:r w:rsidR="00CC4AC4">
        <w:rPr>
          <w:lang w:val="en-CA"/>
        </w:rPr>
        <w:t>, with higher scores indicate higher risk of birth complication</w:t>
      </w:r>
      <w:r w:rsidR="001C63F5">
        <w:rPr>
          <w:lang w:val="en-CA"/>
        </w:rPr>
        <w:t xml:space="preserve"> a</w:t>
      </w:r>
      <w:r w:rsidR="00D3261A">
        <w:rPr>
          <w:lang w:val="en-CA"/>
        </w:rPr>
        <w:t xml:space="preserve">s well as maternal and neonatal </w:t>
      </w:r>
      <w:r w:rsidR="001C63F5">
        <w:rPr>
          <w:lang w:val="en-CA"/>
        </w:rPr>
        <w:t>mortality</w:t>
      </w:r>
      <w:r w:rsidR="00CC4AC4">
        <w:rPr>
          <w:lang w:val="en-CA"/>
        </w:rPr>
        <w:t>.</w:t>
      </w:r>
      <w:r w:rsidR="005A73AF">
        <w:rPr>
          <w:lang w:val="en-CA"/>
        </w:rPr>
        <w:t xml:space="preserve"> According to</w:t>
      </w:r>
      <w:r w:rsidR="001166B2">
        <w:rPr>
          <w:lang w:val="en-CA"/>
        </w:rPr>
        <w:t xml:space="preserve"> </w:t>
      </w:r>
      <w:r w:rsidR="005A73AF">
        <w:rPr>
          <w:lang w:val="en-CA"/>
        </w:rPr>
        <w:t xml:space="preserve">the </w:t>
      </w:r>
      <w:r w:rsidR="005405EB">
        <w:rPr>
          <w:lang w:val="en-CA"/>
        </w:rPr>
        <w:t xml:space="preserve">AHS </w:t>
      </w:r>
      <w:r w:rsidR="001166B2">
        <w:rPr>
          <w:lang w:val="en-CA"/>
        </w:rPr>
        <w:t xml:space="preserve">measuring scale for </w:t>
      </w:r>
      <w:r w:rsidR="005405EB">
        <w:rPr>
          <w:lang w:val="en-CA"/>
        </w:rPr>
        <w:t>antenatal</w:t>
      </w:r>
      <w:r w:rsidR="001166B2">
        <w:rPr>
          <w:lang w:val="en-CA"/>
        </w:rPr>
        <w:t xml:space="preserve"> risk score</w:t>
      </w:r>
      <w:r w:rsidR="005A73AF">
        <w:rPr>
          <w:lang w:val="en-CA"/>
        </w:rPr>
        <w:t>, a score of 0-2 means low risk, 3-6 means moderate, and 7 or above means high risk</w:t>
      </w:r>
      <w:r w:rsidR="00D3261A">
        <w:rPr>
          <w:lang w:val="en-CA"/>
        </w:rPr>
        <w:t xml:space="preserve"> (Burstyn, 2010)</w:t>
      </w:r>
      <w:r w:rsidR="005A73AF">
        <w:rPr>
          <w:lang w:val="en-CA"/>
        </w:rPr>
        <w:t xml:space="preserve">. In this study, risk scores are </w:t>
      </w:r>
      <w:r w:rsidR="00D3261A">
        <w:rPr>
          <w:lang w:val="en-CA"/>
        </w:rPr>
        <w:t>classified</w:t>
      </w:r>
      <w:r w:rsidR="005A73AF">
        <w:rPr>
          <w:lang w:val="en-CA"/>
        </w:rPr>
        <w:t xml:space="preserve"> into “low” and “moderate to high” groups</w:t>
      </w:r>
      <w:r w:rsidR="005405EB">
        <w:rPr>
          <w:lang w:val="en-CA"/>
        </w:rPr>
        <w:t>.</w:t>
      </w:r>
      <w:r w:rsidR="00DF54FA">
        <w:rPr>
          <w:lang w:val="en-CA"/>
        </w:rPr>
        <w:t xml:space="preserve"> </w:t>
      </w:r>
    </w:p>
    <w:p w14:paraId="02567EBB" w14:textId="2B9B8457" w:rsidR="00D3261A" w:rsidRDefault="00DF54FA" w:rsidP="005A060D">
      <w:pPr>
        <w:spacing w:after="240" w:line="276" w:lineRule="auto"/>
        <w:ind w:firstLine="720"/>
        <w:rPr>
          <w:lang w:val="en-CA"/>
        </w:rPr>
      </w:pPr>
      <w:r>
        <w:rPr>
          <w:lang w:val="en-CA"/>
        </w:rPr>
        <w:t xml:space="preserve">The severity of </w:t>
      </w:r>
      <w:r w:rsidR="00746281">
        <w:rPr>
          <w:lang w:val="en-CA"/>
        </w:rPr>
        <w:t>maternal</w:t>
      </w:r>
      <w:r>
        <w:rPr>
          <w:lang w:val="en-CA"/>
        </w:rPr>
        <w:t xml:space="preserve"> outcome will be evaluated based on </w:t>
      </w:r>
      <w:r w:rsidR="004D6AA7">
        <w:rPr>
          <w:lang w:val="en-CA"/>
        </w:rPr>
        <w:t xml:space="preserve">the patient’s total length of stay in the hospital and </w:t>
      </w:r>
      <w:r w:rsidR="00F35A68">
        <w:rPr>
          <w:lang w:val="en-CA"/>
        </w:rPr>
        <w:t xml:space="preserve">the patient’s </w:t>
      </w:r>
      <w:r>
        <w:rPr>
          <w:lang w:val="en-CA"/>
        </w:rPr>
        <w:t xml:space="preserve">discharge status and place (e.g., death, </w:t>
      </w:r>
      <w:r w:rsidR="00746281">
        <w:rPr>
          <w:lang w:val="en-CA"/>
        </w:rPr>
        <w:t xml:space="preserve">transferring </w:t>
      </w:r>
      <w:r>
        <w:rPr>
          <w:lang w:val="en-CA"/>
        </w:rPr>
        <w:t xml:space="preserve">to acute care unit or </w:t>
      </w:r>
      <w:r w:rsidR="00746281">
        <w:rPr>
          <w:lang w:val="en-CA"/>
        </w:rPr>
        <w:t xml:space="preserve">discharging to </w:t>
      </w:r>
      <w:r>
        <w:rPr>
          <w:lang w:val="en-CA"/>
        </w:rPr>
        <w:t>home)</w:t>
      </w:r>
      <w:r w:rsidR="004D6AA7">
        <w:rPr>
          <w:lang w:val="en-CA"/>
        </w:rPr>
        <w:t xml:space="preserve">. </w:t>
      </w:r>
      <w:r w:rsidR="00BA7A5C">
        <w:rPr>
          <w:lang w:val="en-CA"/>
        </w:rPr>
        <w:t xml:space="preserve">The longer a patient had to stay in bed, the more likely that she had a serious condition that required further care and monitoring. </w:t>
      </w:r>
      <w:r w:rsidR="00746281">
        <w:rPr>
          <w:lang w:val="en-CA"/>
        </w:rPr>
        <w:t xml:space="preserve">Discharge places are converted to outcome scores (1-7) with higher score indicate more severe outcomes (7 – “died”, 6 – “to acute care”, </w:t>
      </w:r>
      <w:r w:rsidR="00746281" w:rsidRPr="00746281">
        <w:rPr>
          <w:lang w:val="en-CA"/>
        </w:rPr>
        <w:t>5</w:t>
      </w:r>
      <w:r w:rsidR="00746281">
        <w:rPr>
          <w:lang w:val="en-CA"/>
        </w:rPr>
        <w:t xml:space="preserve"> – “</w:t>
      </w:r>
      <w:r w:rsidR="00746281" w:rsidRPr="00746281">
        <w:rPr>
          <w:lang w:val="en-CA"/>
        </w:rPr>
        <w:t>to continuing care</w:t>
      </w:r>
      <w:r w:rsidR="00746281">
        <w:rPr>
          <w:lang w:val="en-CA"/>
        </w:rPr>
        <w:t xml:space="preserve">”, </w:t>
      </w:r>
      <w:r w:rsidR="00746281" w:rsidRPr="00746281">
        <w:rPr>
          <w:lang w:val="en-CA"/>
        </w:rPr>
        <w:t>4</w:t>
      </w:r>
      <w:r w:rsidR="00746281">
        <w:rPr>
          <w:lang w:val="en-CA"/>
        </w:rPr>
        <w:t xml:space="preserve"> – “</w:t>
      </w:r>
      <w:r w:rsidR="00746281" w:rsidRPr="00746281">
        <w:rPr>
          <w:lang w:val="en-CA"/>
        </w:rPr>
        <w:t>to other</w:t>
      </w:r>
      <w:r w:rsidR="00746281">
        <w:rPr>
          <w:lang w:val="en-CA"/>
        </w:rPr>
        <w:t>”,</w:t>
      </w:r>
      <w:r w:rsidR="00746281" w:rsidRPr="00746281">
        <w:rPr>
          <w:lang w:val="en-CA"/>
        </w:rPr>
        <w:t xml:space="preserve"> 3 </w:t>
      </w:r>
      <w:r w:rsidR="00746281">
        <w:rPr>
          <w:lang w:val="en-CA"/>
        </w:rPr>
        <w:t>– “</w:t>
      </w:r>
      <w:r w:rsidR="00746281" w:rsidRPr="00746281">
        <w:rPr>
          <w:lang w:val="en-CA"/>
        </w:rPr>
        <w:t>left against medical advice</w:t>
      </w:r>
      <w:r w:rsidR="00746281">
        <w:rPr>
          <w:lang w:val="en-CA"/>
        </w:rPr>
        <w:t>”, 2 – “home with support”, 1 – “to home without support”).</w:t>
      </w:r>
      <w:r w:rsidR="00AD04D6">
        <w:rPr>
          <w:lang w:val="en-CA"/>
        </w:rPr>
        <w:t xml:space="preserve"> A preliminary data cleaning and exploration was performed in Python, followed by a t-test analysis in R to compare</w:t>
      </w:r>
      <w:r w:rsidR="00126601">
        <w:rPr>
          <w:lang w:val="en-CA"/>
        </w:rPr>
        <w:t xml:space="preserve"> the maternal outcomes of women who had antenatal </w:t>
      </w:r>
      <w:r w:rsidR="00AD04D6">
        <w:rPr>
          <w:lang w:val="en-CA"/>
        </w:rPr>
        <w:t>low</w:t>
      </w:r>
      <w:r w:rsidR="00126601">
        <w:rPr>
          <w:lang w:val="en-CA"/>
        </w:rPr>
        <w:t xml:space="preserve"> </w:t>
      </w:r>
      <w:r w:rsidR="00AD04D6">
        <w:rPr>
          <w:lang w:val="en-CA"/>
        </w:rPr>
        <w:t xml:space="preserve">risk </w:t>
      </w:r>
      <w:r w:rsidR="00126601">
        <w:rPr>
          <w:lang w:val="en-CA"/>
        </w:rPr>
        <w:t>scores to those with moderate/high risk scores.</w:t>
      </w:r>
      <w:r w:rsidR="005A060D">
        <w:rPr>
          <w:lang w:val="en-CA"/>
        </w:rPr>
        <w:br/>
      </w:r>
    </w:p>
    <w:p w14:paraId="777913BF" w14:textId="3E87FF36" w:rsidR="005405EB" w:rsidRPr="00F35A68" w:rsidRDefault="00DF54FA" w:rsidP="00704560">
      <w:pPr>
        <w:spacing w:after="240" w:line="276" w:lineRule="auto"/>
        <w:rPr>
          <w:b/>
          <w:bCs/>
          <w:lang w:val="en-CA"/>
        </w:rPr>
      </w:pPr>
      <w:r w:rsidRPr="00F35A68">
        <w:rPr>
          <w:b/>
          <w:bCs/>
          <w:lang w:val="en-CA"/>
        </w:rPr>
        <w:t>Results</w:t>
      </w:r>
    </w:p>
    <w:p w14:paraId="305D8558" w14:textId="7A98EFD9" w:rsidR="00654165" w:rsidRDefault="000E1995" w:rsidP="00654165">
      <w:pPr>
        <w:spacing w:after="240" w:line="276" w:lineRule="auto"/>
        <w:ind w:firstLine="720"/>
        <w:rPr>
          <w:lang w:val="en-CA"/>
        </w:rPr>
      </w:pPr>
      <w:r>
        <w:rPr>
          <w:lang w:val="en-CA"/>
        </w:rPr>
        <w:t>The</w:t>
      </w:r>
      <w:r w:rsidR="00F35A68">
        <w:rPr>
          <w:lang w:val="en-CA"/>
        </w:rPr>
        <w:t xml:space="preserve"> average risk score recorded in this sample data set was 2.</w:t>
      </w:r>
      <w:r w:rsidR="00446CA3">
        <w:rPr>
          <w:lang w:val="en-CA"/>
        </w:rPr>
        <w:t>75</w:t>
      </w:r>
      <w:r w:rsidR="00F35A68">
        <w:rPr>
          <w:lang w:val="en-CA"/>
        </w:rPr>
        <w:t xml:space="preserve"> with a standard deviation of </w:t>
      </w:r>
      <w:r w:rsidR="00446CA3">
        <w:rPr>
          <w:lang w:val="en-CA"/>
        </w:rPr>
        <w:t>7.69</w:t>
      </w:r>
      <w:r w:rsidR="00F35A68">
        <w:rPr>
          <w:lang w:val="en-CA"/>
        </w:rPr>
        <w:t xml:space="preserve">, and </w:t>
      </w:r>
      <w:r w:rsidR="000A2D2C">
        <w:rPr>
          <w:lang w:val="vi-VN"/>
        </w:rPr>
        <w:t>64.60</w:t>
      </w:r>
      <w:r w:rsidR="00446CA3">
        <w:rPr>
          <w:lang w:val="en-CA"/>
        </w:rPr>
        <w:t>%</w:t>
      </w:r>
      <w:r w:rsidR="00F35A68">
        <w:rPr>
          <w:lang w:val="en-CA"/>
        </w:rPr>
        <w:t xml:space="preserve"> </w:t>
      </w:r>
      <w:r w:rsidR="001C63F5">
        <w:rPr>
          <w:lang w:val="en-CA"/>
        </w:rPr>
        <w:t xml:space="preserve">of </w:t>
      </w:r>
      <w:r>
        <w:rPr>
          <w:lang w:val="en-CA"/>
        </w:rPr>
        <w:t xml:space="preserve">the total of </w:t>
      </w:r>
      <w:r w:rsidR="00446CA3" w:rsidRPr="005A73AF">
        <w:rPr>
          <w:lang w:val="en-CA"/>
        </w:rPr>
        <w:t>28862</w:t>
      </w:r>
      <w:r w:rsidR="001C63F5">
        <w:rPr>
          <w:lang w:val="en-CA"/>
        </w:rPr>
        <w:t xml:space="preserve"> </w:t>
      </w:r>
      <w:r w:rsidR="00F35A68">
        <w:rPr>
          <w:lang w:val="en-CA"/>
        </w:rPr>
        <w:t xml:space="preserve">pregnant women </w:t>
      </w:r>
      <w:r>
        <w:rPr>
          <w:lang w:val="en-CA"/>
        </w:rPr>
        <w:t>were at minimal risk of clinical complications and mortality</w:t>
      </w:r>
      <w:r w:rsidR="00446CA3">
        <w:rPr>
          <w:lang w:val="en-CA"/>
        </w:rPr>
        <w:t xml:space="preserve"> (i.e., less than 3)</w:t>
      </w:r>
      <w:r w:rsidR="00F35A68">
        <w:rPr>
          <w:lang w:val="en-CA"/>
        </w:rPr>
        <w:t>.</w:t>
      </w:r>
      <w:r w:rsidR="0040602B">
        <w:rPr>
          <w:lang w:val="en-CA"/>
        </w:rPr>
        <w:t xml:space="preserve"> </w:t>
      </w:r>
      <w:r w:rsidR="00D96246">
        <w:rPr>
          <w:lang w:val="en-CA"/>
        </w:rPr>
        <w:t>M</w:t>
      </w:r>
      <w:r w:rsidR="0040602B">
        <w:rPr>
          <w:lang w:val="en-CA"/>
        </w:rPr>
        <w:t>ost women (</w:t>
      </w:r>
      <w:r w:rsidR="000A2D2C">
        <w:rPr>
          <w:lang w:val="vi-VN"/>
        </w:rPr>
        <w:t>99.28%</w:t>
      </w:r>
      <w:r w:rsidR="0040602B">
        <w:rPr>
          <w:lang w:val="en-CA"/>
        </w:rPr>
        <w:t xml:space="preserve">) </w:t>
      </w:r>
      <w:r w:rsidR="00F91630">
        <w:rPr>
          <w:lang w:val="en-CA"/>
        </w:rPr>
        <w:t xml:space="preserve">who </w:t>
      </w:r>
      <w:r w:rsidR="0040602B">
        <w:rPr>
          <w:lang w:val="en-CA"/>
        </w:rPr>
        <w:t xml:space="preserve">were discharged to their residences </w:t>
      </w:r>
      <w:r w:rsidR="00F91630">
        <w:rPr>
          <w:lang w:val="en-CA"/>
        </w:rPr>
        <w:t xml:space="preserve">required no </w:t>
      </w:r>
      <w:r w:rsidR="008F12F3">
        <w:rPr>
          <w:lang w:val="en-CA"/>
        </w:rPr>
        <w:t xml:space="preserve">additional </w:t>
      </w:r>
      <w:r w:rsidR="0040602B">
        <w:rPr>
          <w:lang w:val="en-CA"/>
        </w:rPr>
        <w:t>medical support</w:t>
      </w:r>
      <w:r w:rsidR="00106DD8">
        <w:rPr>
          <w:lang w:val="en-CA"/>
        </w:rPr>
        <w:t xml:space="preserve"> (i.e., outcome score = 1)</w:t>
      </w:r>
      <w:r w:rsidR="008F12F3">
        <w:rPr>
          <w:lang w:val="en-CA"/>
        </w:rPr>
        <w:t>.</w:t>
      </w:r>
      <w:r w:rsidR="00AB5843">
        <w:rPr>
          <w:lang w:val="en-CA"/>
        </w:rPr>
        <w:t xml:space="preserve"> </w:t>
      </w:r>
      <w:r w:rsidR="00F91630">
        <w:rPr>
          <w:lang w:val="en-CA"/>
        </w:rPr>
        <w:t>On average, hospitalized</w:t>
      </w:r>
      <w:r w:rsidR="0040602B">
        <w:rPr>
          <w:lang w:val="en-CA"/>
        </w:rPr>
        <w:t xml:space="preserve"> women stayed </w:t>
      </w:r>
      <w:r w:rsidR="00F91630">
        <w:rPr>
          <w:lang w:val="en-CA"/>
        </w:rPr>
        <w:t xml:space="preserve">for </w:t>
      </w:r>
      <w:r w:rsidR="004D6AA7">
        <w:rPr>
          <w:lang w:val="en-CA"/>
        </w:rPr>
        <w:t xml:space="preserve">a total of </w:t>
      </w:r>
      <w:r w:rsidR="00D96246">
        <w:rPr>
          <w:lang w:val="en-CA"/>
        </w:rPr>
        <w:t>two</w:t>
      </w:r>
      <w:r w:rsidR="0040602B">
        <w:rPr>
          <w:lang w:val="en-CA"/>
        </w:rPr>
        <w:t xml:space="preserve"> days </w:t>
      </w:r>
      <w:r w:rsidR="00D96246">
        <w:rPr>
          <w:lang w:val="en-CA"/>
        </w:rPr>
        <w:t>(</w:t>
      </w:r>
      <w:proofErr w:type="spellStart"/>
      <w:r w:rsidR="00D96246" w:rsidRPr="00E0088D">
        <w:rPr>
          <w:i/>
          <w:iCs/>
          <w:lang w:val="en-CA"/>
        </w:rPr>
        <w:t>sd</w:t>
      </w:r>
      <w:proofErr w:type="spellEnd"/>
      <w:r w:rsidR="00D96246">
        <w:rPr>
          <w:lang w:val="en-CA"/>
        </w:rPr>
        <w:t xml:space="preserve"> </w:t>
      </w:r>
      <m:oMath>
        <m:r>
          <w:rPr>
            <w:rFonts w:ascii="Cambria Math" w:hAnsi="Cambria Math"/>
            <w:lang w:val="en-CA"/>
          </w:rPr>
          <m:t>≃</m:t>
        </m:r>
      </m:oMath>
      <w:r w:rsidR="00D96246">
        <w:rPr>
          <w:rFonts w:eastAsiaTheme="minorEastAsia"/>
          <w:lang w:val="en-CA"/>
        </w:rPr>
        <w:t xml:space="preserve"> </w:t>
      </w:r>
      <w:r w:rsidR="004D6AA7">
        <w:rPr>
          <w:rFonts w:eastAsiaTheme="minorEastAsia"/>
          <w:lang w:val="en-CA"/>
        </w:rPr>
        <w:t>2</w:t>
      </w:r>
      <w:r w:rsidR="00D96246">
        <w:rPr>
          <w:rFonts w:eastAsiaTheme="minorEastAsia"/>
          <w:lang w:val="en-CA"/>
        </w:rPr>
        <w:t xml:space="preserve"> </w:t>
      </w:r>
      <w:r w:rsidR="00D96246">
        <w:rPr>
          <w:lang w:val="en-CA"/>
        </w:rPr>
        <w:t xml:space="preserve">days), and 75% of them stayed </w:t>
      </w:r>
      <w:r w:rsidR="00F91630">
        <w:rPr>
          <w:lang w:val="en-CA"/>
        </w:rPr>
        <w:t xml:space="preserve">for </w:t>
      </w:r>
      <w:r w:rsidR="00D96246">
        <w:rPr>
          <w:lang w:val="en-CA"/>
        </w:rPr>
        <w:t>three consecutive day</w:t>
      </w:r>
      <w:r w:rsidR="00F91630">
        <w:rPr>
          <w:lang w:val="en-CA"/>
        </w:rPr>
        <w:t>s at most</w:t>
      </w:r>
      <w:r w:rsidR="00D96246">
        <w:rPr>
          <w:lang w:val="en-CA"/>
        </w:rPr>
        <w:t xml:space="preserve">. The shortest stay was one day whilst the longest took </w:t>
      </w:r>
      <w:r w:rsidR="004D6AA7">
        <w:rPr>
          <w:lang w:val="en-CA"/>
        </w:rPr>
        <w:t>86</w:t>
      </w:r>
      <w:r w:rsidR="00D96246">
        <w:rPr>
          <w:lang w:val="en-CA"/>
        </w:rPr>
        <w:t xml:space="preserve"> days. </w:t>
      </w:r>
      <w:r w:rsidR="004D6AA7">
        <w:rPr>
          <w:lang w:val="en-CA"/>
        </w:rPr>
        <w:t xml:space="preserve">In total, </w:t>
      </w:r>
      <w:r w:rsidR="004D6AA7" w:rsidRPr="004D6AA7">
        <w:rPr>
          <w:lang w:val="en-CA"/>
        </w:rPr>
        <w:t>1694</w:t>
      </w:r>
      <w:r w:rsidR="004D6AA7">
        <w:rPr>
          <w:lang w:val="en-CA"/>
        </w:rPr>
        <w:t xml:space="preserve"> </w:t>
      </w:r>
      <w:r w:rsidR="00D96246">
        <w:rPr>
          <w:lang w:val="en-CA"/>
        </w:rPr>
        <w:t xml:space="preserve">expectant mothers </w:t>
      </w:r>
      <w:r w:rsidR="000A2D2C">
        <w:rPr>
          <w:lang w:val="vi-VN"/>
        </w:rPr>
        <w:t xml:space="preserve">(5.87%) </w:t>
      </w:r>
      <w:r w:rsidR="00D96246">
        <w:rPr>
          <w:lang w:val="en-CA"/>
        </w:rPr>
        <w:t>had received labour induction</w:t>
      </w:r>
      <w:r w:rsidR="00E03DFF">
        <w:rPr>
          <w:lang w:val="en-CA"/>
        </w:rPr>
        <w:t xml:space="preserve"> prior to admission</w:t>
      </w:r>
      <w:r w:rsidR="004D6AA7">
        <w:rPr>
          <w:lang w:val="en-CA"/>
        </w:rPr>
        <w:t xml:space="preserve">, while </w:t>
      </w:r>
      <w:r w:rsidR="004D6AA7" w:rsidRPr="004D6AA7">
        <w:rPr>
          <w:lang w:val="en-CA"/>
        </w:rPr>
        <w:t>27168</w:t>
      </w:r>
      <w:r w:rsidR="004D6AA7">
        <w:rPr>
          <w:lang w:val="en-CA"/>
        </w:rPr>
        <w:t xml:space="preserve"> others had not.</w:t>
      </w:r>
    </w:p>
    <w:p w14:paraId="17DC69BB" w14:textId="50538D38" w:rsidR="004619AC" w:rsidRPr="00654165" w:rsidRDefault="00063A1B" w:rsidP="00654165">
      <w:pPr>
        <w:spacing w:after="240" w:line="276" w:lineRule="auto"/>
        <w:ind w:firstLine="720"/>
        <w:rPr>
          <w:lang w:val="en-CA"/>
        </w:rPr>
      </w:pPr>
      <w:r w:rsidRPr="00063A1B">
        <w:rPr>
          <w:i/>
          <w:iCs/>
          <w:lang w:val="en-CA"/>
        </w:rPr>
        <w:lastRenderedPageBreak/>
        <w:t xml:space="preserve">Hypothesis 1: Women who had higher risk scores were more likely to have </w:t>
      </w:r>
      <w:r w:rsidR="00AD04D6">
        <w:rPr>
          <w:i/>
          <w:iCs/>
          <w:lang w:val="en-CA"/>
        </w:rPr>
        <w:t xml:space="preserve">(a) </w:t>
      </w:r>
      <w:r w:rsidRPr="00063A1B">
        <w:rPr>
          <w:i/>
          <w:iCs/>
          <w:lang w:val="en-CA"/>
        </w:rPr>
        <w:t xml:space="preserve">higher outcome scores and </w:t>
      </w:r>
      <w:r w:rsidR="00AD04D6">
        <w:rPr>
          <w:i/>
          <w:iCs/>
          <w:lang w:val="en-CA"/>
        </w:rPr>
        <w:t xml:space="preserve">(b) </w:t>
      </w:r>
      <w:r w:rsidRPr="00063A1B">
        <w:rPr>
          <w:i/>
          <w:iCs/>
          <w:lang w:val="en-CA"/>
        </w:rPr>
        <w:t>longer stay in the hospital</w:t>
      </w:r>
    </w:p>
    <w:p w14:paraId="599E2728" w14:textId="7B858804" w:rsidR="00063A1B" w:rsidRPr="00611BFC" w:rsidRDefault="00063A1B" w:rsidP="009C3C33">
      <w:pPr>
        <w:spacing w:after="240" w:line="276" w:lineRule="auto"/>
        <w:rPr>
          <w:lang w:val="en-CA"/>
        </w:rPr>
      </w:pPr>
      <w:r>
        <w:rPr>
          <w:lang w:val="en-CA"/>
        </w:rPr>
        <w:tab/>
      </w:r>
      <w:r w:rsidR="000A2D2C">
        <w:rPr>
          <w:lang w:val="en-CA"/>
        </w:rPr>
        <w:t>For</w:t>
      </w:r>
      <w:r w:rsidR="000A2D2C">
        <w:rPr>
          <w:lang w:val="vi-VN"/>
        </w:rPr>
        <w:t xml:space="preserve"> </w:t>
      </w:r>
      <w:r w:rsidR="000A2D2C">
        <w:rPr>
          <w:lang w:val="en-CA"/>
        </w:rPr>
        <w:t>the proposed hypotheses, t-test analysis w</w:t>
      </w:r>
      <w:r w:rsidR="002574F5">
        <w:rPr>
          <w:lang w:val="en-CA"/>
        </w:rPr>
        <w:t>as</w:t>
      </w:r>
      <w:r w:rsidR="000A2D2C">
        <w:rPr>
          <w:lang w:val="en-CA"/>
        </w:rPr>
        <w:t xml:space="preserve"> used to compare </w:t>
      </w:r>
      <w:r w:rsidR="002574F5">
        <w:rPr>
          <w:lang w:val="en-CA"/>
        </w:rPr>
        <w:t xml:space="preserve">maternal </w:t>
      </w:r>
      <w:r w:rsidR="000A2D2C">
        <w:rPr>
          <w:lang w:val="en-CA"/>
        </w:rPr>
        <w:t>outcome</w:t>
      </w:r>
      <w:r w:rsidR="002574F5">
        <w:rPr>
          <w:lang w:val="en-CA"/>
        </w:rPr>
        <w:t xml:space="preserve"> score</w:t>
      </w:r>
      <w:r w:rsidR="000A2D2C">
        <w:rPr>
          <w:lang w:val="en-CA"/>
        </w:rPr>
        <w:t xml:space="preserve"> and total length of stay between two groups: low-risk versus high-risk</w:t>
      </w:r>
      <w:r w:rsidR="002574F5">
        <w:rPr>
          <w:lang w:val="en-CA"/>
        </w:rPr>
        <w:t xml:space="preserve"> (hypothesis 1)</w:t>
      </w:r>
      <w:r w:rsidR="000A2D2C">
        <w:rPr>
          <w:lang w:val="en-CA"/>
        </w:rPr>
        <w:t xml:space="preserve"> and </w:t>
      </w:r>
      <w:r w:rsidR="002574F5">
        <w:rPr>
          <w:lang w:val="en-CA"/>
        </w:rPr>
        <w:t xml:space="preserve">induced versus non-induced (hypothesis 2 and 3) as well as to calculate the 95% confidence interval. </w:t>
      </w:r>
      <w:r w:rsidR="00611BFC">
        <w:rPr>
          <w:lang w:val="en-CA"/>
        </w:rPr>
        <w:t xml:space="preserve">Since the data were not normally distributed, </w:t>
      </w:r>
      <w:r w:rsidR="00611BFC" w:rsidRPr="00611BFC">
        <w:rPr>
          <w:lang w:val="en-CA"/>
        </w:rPr>
        <w:t>Wilcoxon rank sum test</w:t>
      </w:r>
      <w:r w:rsidR="00611BFC">
        <w:rPr>
          <w:lang w:val="en-CA"/>
        </w:rPr>
        <w:t>s</w:t>
      </w:r>
      <w:r w:rsidR="00611BFC" w:rsidRPr="00611BFC">
        <w:rPr>
          <w:lang w:val="en-CA"/>
        </w:rPr>
        <w:t xml:space="preserve"> with continuity correction</w:t>
      </w:r>
      <w:r w:rsidR="00611BFC">
        <w:rPr>
          <w:lang w:val="en-CA"/>
        </w:rPr>
        <w:t xml:space="preserve"> were performed and will also be reported. </w:t>
      </w:r>
      <w:r w:rsidR="00AD04D6">
        <w:rPr>
          <w:lang w:val="en-CA"/>
        </w:rPr>
        <w:t xml:space="preserve">A result of </w:t>
      </w:r>
      <w:r w:rsidR="00AD04D6" w:rsidRPr="00AD04D6">
        <w:rPr>
          <w:lang w:val="en-CA"/>
        </w:rPr>
        <w:t>t = -3.7441, df = 16853, p-value = 0.00009081</w:t>
      </w:r>
      <w:r w:rsidR="00AD04D6">
        <w:rPr>
          <w:lang w:val="en-CA"/>
        </w:rPr>
        <w:t xml:space="preserve"> </w:t>
      </w:r>
      <w:r w:rsidR="003B0766">
        <w:rPr>
          <w:lang w:val="en-CA"/>
        </w:rPr>
        <w:t xml:space="preserve">and </w:t>
      </w:r>
      <w:r w:rsidR="003B0766" w:rsidRPr="003B0766">
        <w:rPr>
          <w:lang w:val="en-CA"/>
        </w:rPr>
        <w:t>W = 94705238, p-value = 0.00000005622</w:t>
      </w:r>
      <w:r w:rsidR="003B0766">
        <w:rPr>
          <w:lang w:val="en-CA"/>
        </w:rPr>
        <w:t xml:space="preserve"> </w:t>
      </w:r>
      <w:r w:rsidR="00AD04D6">
        <w:rPr>
          <w:lang w:val="en-CA"/>
        </w:rPr>
        <w:t>support</w:t>
      </w:r>
      <w:r w:rsidR="003B0766">
        <w:rPr>
          <w:lang w:val="en-CA"/>
        </w:rPr>
        <w:t>s</w:t>
      </w:r>
      <w:r w:rsidR="00AD04D6">
        <w:rPr>
          <w:lang w:val="en-CA"/>
        </w:rPr>
        <w:t xml:space="preserve"> part (a) of Hypothesis 1. On average, </w:t>
      </w:r>
      <w:r w:rsidR="00126601">
        <w:rPr>
          <w:lang w:val="en-CA"/>
        </w:rPr>
        <w:t xml:space="preserve">at 95% confidence level, </w:t>
      </w:r>
      <w:r w:rsidR="00AD04D6">
        <w:rPr>
          <w:lang w:val="en-CA"/>
        </w:rPr>
        <w:t xml:space="preserve">women of the low-risk group </w:t>
      </w:r>
      <w:r w:rsidR="00294B9E">
        <w:rPr>
          <w:lang w:val="en-CA"/>
        </w:rPr>
        <w:t>(age 13-47,</w:t>
      </w:r>
      <w:r w:rsidR="00294B9E" w:rsidRPr="00294B9E">
        <w:rPr>
          <w:i/>
          <w:iCs/>
          <w:lang w:val="en-CA"/>
        </w:rPr>
        <w:t xml:space="preserve"> </w:t>
      </w:r>
      <w:r w:rsidR="00294B9E" w:rsidRPr="00E0088D">
        <w:rPr>
          <w:i/>
          <w:iCs/>
          <w:lang w:val="en-CA"/>
        </w:rPr>
        <w:t>mean</w:t>
      </w:r>
      <w:r w:rsidR="00294B9E">
        <w:rPr>
          <w:lang w:val="en-CA"/>
        </w:rPr>
        <w:t xml:space="preserve"> </w:t>
      </w:r>
      <m:oMath>
        <m:r>
          <w:rPr>
            <w:rFonts w:ascii="Cambria Math" w:hAnsi="Cambria Math"/>
            <w:lang w:val="en-CA"/>
          </w:rPr>
          <m:t>≃</m:t>
        </m:r>
      </m:oMath>
      <w:r w:rsidR="00294B9E">
        <w:rPr>
          <w:rFonts w:eastAsiaTheme="minorEastAsia"/>
          <w:lang w:val="en-CA"/>
        </w:rPr>
        <w:t xml:space="preserve"> </w:t>
      </w:r>
      <w:r w:rsidR="00294B9E">
        <w:rPr>
          <w:lang w:val="en-CA"/>
        </w:rPr>
        <w:t xml:space="preserve">30 years, </w:t>
      </w:r>
      <w:proofErr w:type="spellStart"/>
      <w:r w:rsidR="00294B9E" w:rsidRPr="00E0088D">
        <w:rPr>
          <w:i/>
          <w:iCs/>
          <w:lang w:val="en-CA"/>
        </w:rPr>
        <w:t>sd</w:t>
      </w:r>
      <w:proofErr w:type="spellEnd"/>
      <w:r w:rsidR="00294B9E">
        <w:rPr>
          <w:lang w:val="en-CA"/>
        </w:rPr>
        <w:t xml:space="preserve"> </w:t>
      </w:r>
      <m:oMath>
        <m:r>
          <w:rPr>
            <w:rFonts w:ascii="Cambria Math" w:hAnsi="Cambria Math"/>
            <w:lang w:val="en-CA"/>
          </w:rPr>
          <m:t>≃</m:t>
        </m:r>
      </m:oMath>
      <w:r w:rsidR="00294B9E">
        <w:rPr>
          <w:lang w:val="en-CA"/>
        </w:rPr>
        <w:t xml:space="preserve"> 6 years) </w:t>
      </w:r>
      <w:r w:rsidR="00AD04D6">
        <w:rPr>
          <w:lang w:val="en-CA"/>
        </w:rPr>
        <w:t xml:space="preserve">tended to have lower outcome score </w:t>
      </w:r>
      <w:r w:rsidR="00126601">
        <w:rPr>
          <w:lang w:val="en-CA"/>
        </w:rPr>
        <w:t xml:space="preserve">by </w:t>
      </w:r>
      <w:r w:rsidR="00126601" w:rsidRPr="00126601">
        <w:rPr>
          <w:lang w:val="en-CA"/>
        </w:rPr>
        <w:t>0.008</w:t>
      </w:r>
      <w:r w:rsidR="00126601">
        <w:rPr>
          <w:lang w:val="en-CA"/>
        </w:rPr>
        <w:t xml:space="preserve"> to 0.026, compared to the high-risk women</w:t>
      </w:r>
      <w:r w:rsidR="00294B9E">
        <w:rPr>
          <w:lang w:val="en-CA"/>
        </w:rPr>
        <w:t xml:space="preserve"> (age 13-60,</w:t>
      </w:r>
      <w:r w:rsidR="00294B9E" w:rsidRPr="00294B9E">
        <w:rPr>
          <w:i/>
          <w:iCs/>
          <w:lang w:val="en-CA"/>
        </w:rPr>
        <w:t xml:space="preserve"> </w:t>
      </w:r>
      <w:r w:rsidR="00294B9E" w:rsidRPr="00E0088D">
        <w:rPr>
          <w:i/>
          <w:iCs/>
          <w:lang w:val="en-CA"/>
        </w:rPr>
        <w:t>mean</w:t>
      </w:r>
      <w:r w:rsidR="00294B9E">
        <w:rPr>
          <w:lang w:val="en-CA"/>
        </w:rPr>
        <w:t xml:space="preserve"> </w:t>
      </w:r>
      <m:oMath>
        <m:r>
          <w:rPr>
            <w:rFonts w:ascii="Cambria Math" w:hAnsi="Cambria Math"/>
            <w:lang w:val="en-CA"/>
          </w:rPr>
          <m:t>≃</m:t>
        </m:r>
      </m:oMath>
      <w:r w:rsidR="00294B9E">
        <w:rPr>
          <w:rFonts w:eastAsiaTheme="minorEastAsia"/>
          <w:lang w:val="en-CA"/>
        </w:rPr>
        <w:t xml:space="preserve"> </w:t>
      </w:r>
      <w:r w:rsidR="00294B9E">
        <w:rPr>
          <w:lang w:val="en-CA"/>
        </w:rPr>
        <w:t xml:space="preserve">28 years, </w:t>
      </w:r>
      <w:proofErr w:type="spellStart"/>
      <w:r w:rsidR="00294B9E" w:rsidRPr="00E0088D">
        <w:rPr>
          <w:i/>
          <w:iCs/>
          <w:lang w:val="en-CA"/>
        </w:rPr>
        <w:t>sd</w:t>
      </w:r>
      <w:proofErr w:type="spellEnd"/>
      <w:r w:rsidR="00294B9E">
        <w:rPr>
          <w:lang w:val="en-CA"/>
        </w:rPr>
        <w:t xml:space="preserve"> </w:t>
      </w:r>
      <m:oMath>
        <m:r>
          <w:rPr>
            <w:rFonts w:ascii="Cambria Math" w:hAnsi="Cambria Math"/>
            <w:lang w:val="en-CA"/>
          </w:rPr>
          <m:t>≃</m:t>
        </m:r>
      </m:oMath>
      <w:r w:rsidR="00294B9E">
        <w:rPr>
          <w:lang w:val="en-CA"/>
        </w:rPr>
        <w:t xml:space="preserve"> 5 years)</w:t>
      </w:r>
      <w:r w:rsidR="00AD04D6">
        <w:rPr>
          <w:lang w:val="en-CA"/>
        </w:rPr>
        <w:t xml:space="preserve">. The </w:t>
      </w:r>
      <w:r w:rsidR="00126601">
        <w:rPr>
          <w:lang w:val="en-CA"/>
        </w:rPr>
        <w:t>mean outcome score of the low-risk group was 1.02, and the mean outcome score of the high-risk group was 1.04.</w:t>
      </w:r>
    </w:p>
    <w:p w14:paraId="32A632E4" w14:textId="338B7DAB" w:rsidR="00654165" w:rsidRDefault="00654165" w:rsidP="00470B25">
      <w:pPr>
        <w:spacing w:after="240" w:line="276" w:lineRule="auto"/>
        <w:ind w:firstLine="720"/>
        <w:rPr>
          <w:lang w:val="en-CA"/>
        </w:rPr>
      </w:pPr>
      <w:r>
        <w:t xml:space="preserve">Similarly, a significant result (t = </w:t>
      </w:r>
      <w:r w:rsidRPr="00654165">
        <w:t>-27.227</w:t>
      </w:r>
      <w:r>
        <w:t>, p</w:t>
      </w:r>
      <w:r w:rsidR="008B477E">
        <w:t>-value</w:t>
      </w:r>
      <w:r>
        <w:t xml:space="preserve"> </w:t>
      </w:r>
      <w:r w:rsidR="008B477E">
        <w:t>&lt;</w:t>
      </w:r>
      <w:r>
        <w:t xml:space="preserve"> 10</w:t>
      </w:r>
      <w:r>
        <w:rPr>
          <w:vertAlign w:val="superscript"/>
        </w:rPr>
        <w:t>-1</w:t>
      </w:r>
      <w:r w:rsidR="008B477E">
        <w:rPr>
          <w:vertAlign w:val="superscript"/>
        </w:rPr>
        <w:t>5</w:t>
      </w:r>
      <w:r w:rsidR="008B477E">
        <w:t xml:space="preserve"> and </w:t>
      </w:r>
      <w:r w:rsidR="008B477E" w:rsidRPr="008B477E">
        <w:t>W = 65424976, p-value</w:t>
      </w:r>
      <w:r w:rsidR="008B477E">
        <w:t xml:space="preserve"> &lt; 10</w:t>
      </w:r>
      <w:r w:rsidR="008B477E">
        <w:rPr>
          <w:vertAlign w:val="superscript"/>
        </w:rPr>
        <w:t>-15</w:t>
      </w:r>
      <w:r>
        <w:t>) was found for total length of stay</w:t>
      </w:r>
      <w:r w:rsidR="00E17C80">
        <w:t>, supporting Hypothesis 1b.</w:t>
      </w:r>
      <w:r w:rsidR="006A5B56">
        <w:t xml:space="preserve"> Averagely, women who were at minimal risk stayed for </w:t>
      </w:r>
      <w:r w:rsidR="00470B25">
        <w:t xml:space="preserve">almost 2 days, while those with moderate to high risk stayed for almost 3 days in the hospital. The mean difference </w:t>
      </w:r>
      <w:r w:rsidR="008B477E">
        <w:t xml:space="preserve">in length of stay </w:t>
      </w:r>
      <w:r w:rsidR="00470B25">
        <w:t>between the two groups</w:t>
      </w:r>
      <w:r w:rsidR="008B477E">
        <w:t xml:space="preserve"> </w:t>
      </w:r>
      <w:r w:rsidR="00470B25">
        <w:t>w</w:t>
      </w:r>
      <w:r w:rsidR="008B477E">
        <w:t>as</w:t>
      </w:r>
      <w:r w:rsidR="00470B25">
        <w:t xml:space="preserve"> 1 day at the 95% level of confidence.</w:t>
      </w:r>
    </w:p>
    <w:p w14:paraId="5A2F7CE8" w14:textId="01CE7BE9" w:rsidR="00682ABB" w:rsidRDefault="00A9126E" w:rsidP="009C3C33">
      <w:pPr>
        <w:spacing w:after="240" w:line="276" w:lineRule="auto"/>
        <w:rPr>
          <w:i/>
          <w:iCs/>
          <w:lang w:val="en-CA"/>
        </w:rPr>
      </w:pPr>
      <w:r>
        <w:rPr>
          <w:lang w:val="en-CA"/>
        </w:rPr>
        <w:tab/>
      </w:r>
      <w:r w:rsidRPr="0005477D">
        <w:rPr>
          <w:i/>
          <w:iCs/>
          <w:lang w:val="en-CA"/>
        </w:rPr>
        <w:t>Hypothesis 2</w:t>
      </w:r>
      <w:r w:rsidR="00470B25" w:rsidRPr="0005477D">
        <w:rPr>
          <w:i/>
          <w:iCs/>
          <w:lang w:val="en-CA"/>
        </w:rPr>
        <w:t xml:space="preserve">: </w:t>
      </w:r>
      <w:r w:rsidR="00682ABB" w:rsidRPr="0005477D">
        <w:rPr>
          <w:i/>
          <w:iCs/>
          <w:lang w:val="en-CA"/>
        </w:rPr>
        <w:t xml:space="preserve">High-risk women who had received induction prior to admission </w:t>
      </w:r>
      <w:r w:rsidR="0005477D">
        <w:rPr>
          <w:i/>
          <w:iCs/>
          <w:lang w:val="en-CA"/>
        </w:rPr>
        <w:t xml:space="preserve">(a) </w:t>
      </w:r>
      <w:r w:rsidR="00682ABB" w:rsidRPr="0005477D">
        <w:rPr>
          <w:i/>
          <w:iCs/>
          <w:lang w:val="en-CA"/>
        </w:rPr>
        <w:t xml:space="preserve">experienced less severe outcomes </w:t>
      </w:r>
      <w:r w:rsidR="0005477D">
        <w:rPr>
          <w:i/>
          <w:iCs/>
          <w:lang w:val="en-CA"/>
        </w:rPr>
        <w:t xml:space="preserve">and (b) stayed for less days </w:t>
      </w:r>
      <w:r w:rsidR="00682ABB" w:rsidRPr="0005477D">
        <w:rPr>
          <w:i/>
          <w:iCs/>
          <w:lang w:val="en-CA"/>
        </w:rPr>
        <w:t>than those who had not been labour induced.</w:t>
      </w:r>
    </w:p>
    <w:p w14:paraId="6974458D" w14:textId="0C1E0C0B" w:rsidR="00723FE6" w:rsidRPr="008B5272" w:rsidRDefault="00723FE6" w:rsidP="009C3C33">
      <w:pPr>
        <w:spacing w:after="240" w:line="276" w:lineRule="auto"/>
        <w:rPr>
          <w:lang w:val="en-CA"/>
        </w:rPr>
      </w:pPr>
      <w:r>
        <w:rPr>
          <w:lang w:val="en-CA"/>
        </w:rPr>
        <w:tab/>
        <w:t xml:space="preserve">Hypothesis 2 was partially supported since receiving labour induction </w:t>
      </w:r>
      <w:r w:rsidR="00B14FA1">
        <w:rPr>
          <w:lang w:val="en-CA"/>
        </w:rPr>
        <w:t>was</w:t>
      </w:r>
      <w:r>
        <w:rPr>
          <w:lang w:val="en-CA"/>
        </w:rPr>
        <w:t xml:space="preserve"> not show</w:t>
      </w:r>
      <w:r w:rsidR="00B14FA1">
        <w:rPr>
          <w:lang w:val="en-CA"/>
        </w:rPr>
        <w:t>n</w:t>
      </w:r>
      <w:r>
        <w:rPr>
          <w:lang w:val="en-CA"/>
        </w:rPr>
        <w:t xml:space="preserve"> to affect the difference </w:t>
      </w:r>
      <w:r w:rsidR="00B14FA1">
        <w:rPr>
          <w:lang w:val="en-CA"/>
        </w:rPr>
        <w:t xml:space="preserve">in </w:t>
      </w:r>
      <w:r>
        <w:rPr>
          <w:lang w:val="en-CA"/>
        </w:rPr>
        <w:t xml:space="preserve">outcome scores of women with moderate to high antenatal risk scores. The total days in hospital, on the other hand, were slightly different: </w:t>
      </w:r>
      <w:r w:rsidR="00C41484">
        <w:rPr>
          <w:lang w:val="en-CA"/>
        </w:rPr>
        <w:t xml:space="preserve">on average, </w:t>
      </w:r>
      <w:r>
        <w:rPr>
          <w:lang w:val="en-CA"/>
        </w:rPr>
        <w:t xml:space="preserve">labour induced </w:t>
      </w:r>
      <w:r w:rsidR="00C41484">
        <w:rPr>
          <w:lang w:val="en-CA"/>
        </w:rPr>
        <w:t xml:space="preserve">women could leave the hospital a </w:t>
      </w:r>
      <w:r w:rsidR="00E15BED">
        <w:rPr>
          <w:lang w:val="en-CA"/>
        </w:rPr>
        <w:t>little</w:t>
      </w:r>
      <w:r w:rsidR="00C41484">
        <w:rPr>
          <w:lang w:val="en-CA"/>
        </w:rPr>
        <w:t xml:space="preserve"> sooner (0.02 to 0.27 day, at 95% confidence interval) than those who had not received th</w:t>
      </w:r>
      <w:r w:rsidR="008C3C5E">
        <w:rPr>
          <w:lang w:val="en-CA"/>
        </w:rPr>
        <w:t>e</w:t>
      </w:r>
      <w:r w:rsidR="00C41484">
        <w:rPr>
          <w:lang w:val="en-CA"/>
        </w:rPr>
        <w:t xml:space="preserve"> intervention.</w:t>
      </w:r>
      <w:r w:rsidR="008B5272">
        <w:rPr>
          <w:lang w:val="vi-VN"/>
        </w:rPr>
        <w:t xml:space="preserve"> Detailed statistical </w:t>
      </w:r>
      <w:r w:rsidR="008C3C5E">
        <w:rPr>
          <w:lang w:val="en-CA"/>
        </w:rPr>
        <w:t>report</w:t>
      </w:r>
      <w:r w:rsidR="008B5272">
        <w:rPr>
          <w:lang w:val="en-CA"/>
        </w:rPr>
        <w:t xml:space="preserve"> can be found in Table 1.</w:t>
      </w:r>
    </w:p>
    <w:p w14:paraId="650A70ED" w14:textId="5A3B2520" w:rsidR="008B5272" w:rsidRDefault="00682ABB" w:rsidP="00682ABB">
      <w:pPr>
        <w:spacing w:after="240" w:line="276" w:lineRule="auto"/>
        <w:ind w:firstLine="720"/>
        <w:rPr>
          <w:i/>
          <w:iCs/>
          <w:lang w:val="en-CA"/>
        </w:rPr>
      </w:pPr>
      <w:r w:rsidRPr="0005477D">
        <w:rPr>
          <w:i/>
          <w:iCs/>
          <w:lang w:val="en-CA"/>
        </w:rPr>
        <w:t xml:space="preserve">Hypothesis 3: Labour induction would not change the </w:t>
      </w:r>
      <w:r w:rsidR="00723FE6">
        <w:rPr>
          <w:i/>
          <w:iCs/>
          <w:lang w:val="en-CA"/>
        </w:rPr>
        <w:t xml:space="preserve">(a) </w:t>
      </w:r>
      <w:r w:rsidRPr="0005477D">
        <w:rPr>
          <w:i/>
          <w:iCs/>
          <w:lang w:val="en-CA"/>
        </w:rPr>
        <w:t xml:space="preserve">likelihood of unwanted </w:t>
      </w:r>
      <w:r w:rsidR="008D66BC">
        <w:rPr>
          <w:i/>
          <w:iCs/>
          <w:lang w:val="en-CA"/>
        </w:rPr>
        <w:t xml:space="preserve">maternal </w:t>
      </w:r>
      <w:r w:rsidRPr="0005477D">
        <w:rPr>
          <w:i/>
          <w:iCs/>
          <w:lang w:val="en-CA"/>
        </w:rPr>
        <w:t xml:space="preserve">outcomes </w:t>
      </w:r>
      <w:r w:rsidR="0005477D">
        <w:rPr>
          <w:i/>
          <w:iCs/>
          <w:lang w:val="en-CA"/>
        </w:rPr>
        <w:t xml:space="preserve">and (b) length of stay </w:t>
      </w:r>
      <w:r w:rsidRPr="0005477D">
        <w:rPr>
          <w:i/>
          <w:iCs/>
          <w:lang w:val="en-CA"/>
        </w:rPr>
        <w:t>in low-risk women.</w:t>
      </w:r>
    </w:p>
    <w:p w14:paraId="50B200A8" w14:textId="220C07D8" w:rsidR="0047422E" w:rsidRPr="00BB75B6" w:rsidRDefault="00C41484" w:rsidP="00BB75B6">
      <w:pPr>
        <w:spacing w:after="240" w:line="276" w:lineRule="auto"/>
        <w:ind w:firstLine="720"/>
        <w:rPr>
          <w:lang w:val="en-CA"/>
        </w:rPr>
      </w:pPr>
      <w:r>
        <w:rPr>
          <w:lang w:val="en-CA"/>
        </w:rPr>
        <w:t xml:space="preserve">Hypothesis 3 was also partially supported. The outcome scores of women with minimal risk did not changed between induced and not-induced groups. However, labour induced women stayed a bit longer (0.26 to 0.41 day, at 95% confidence level) in the hospital than those who had not been labour induced. This pattern was also observed when </w:t>
      </w:r>
      <w:r w:rsidR="00BB75B6">
        <w:rPr>
          <w:lang w:val="en-CA"/>
        </w:rPr>
        <w:t>comparing induced to non-induced group without controlling for antenatal risk score.</w:t>
      </w:r>
    </w:p>
    <w:p w14:paraId="5CC0955C" w14:textId="59794D36" w:rsidR="00C41484" w:rsidRDefault="008B5272" w:rsidP="008B5272">
      <w:pPr>
        <w:spacing w:after="240" w:line="276" w:lineRule="auto"/>
        <w:ind w:firstLine="720"/>
        <w:rPr>
          <w:i/>
          <w:iCs/>
          <w:lang w:val="en-CA"/>
        </w:rPr>
      </w:pPr>
      <w:r>
        <w:rPr>
          <w:i/>
          <w:iCs/>
          <w:lang w:val="en-CA"/>
        </w:rPr>
        <w:t>Table</w:t>
      </w:r>
      <w:r>
        <w:rPr>
          <w:i/>
          <w:iCs/>
          <w:lang w:val="vi-VN"/>
        </w:rPr>
        <w:t xml:space="preserve"> 1 - </w:t>
      </w:r>
      <w:r w:rsidR="00C41484">
        <w:rPr>
          <w:i/>
          <w:iCs/>
          <w:lang w:val="en-CA"/>
        </w:rPr>
        <w:t>Detailed statistical results of Hypothesis 2 and 3</w:t>
      </w:r>
      <w:r w:rsidR="00ED76BD">
        <w:rPr>
          <w:i/>
          <w:iCs/>
          <w:lang w:val="en-CA"/>
        </w:rPr>
        <w:t xml:space="preserve"> (H2 &amp; H3)</w:t>
      </w:r>
    </w:p>
    <w:p w14:paraId="6406ED58" w14:textId="77777777" w:rsidR="0047422E" w:rsidRPr="0005477D" w:rsidRDefault="0047422E" w:rsidP="008B5272">
      <w:pPr>
        <w:spacing w:after="240" w:line="276" w:lineRule="auto"/>
        <w:ind w:firstLine="720"/>
        <w:rPr>
          <w:i/>
          <w:iCs/>
          <w:lang w:val="en-CA"/>
        </w:rPr>
      </w:pPr>
    </w:p>
    <w:tbl>
      <w:tblPr>
        <w:tblStyle w:val="TableGrid"/>
        <w:tblW w:w="9634" w:type="dxa"/>
        <w:tblLook w:val="04A0" w:firstRow="1" w:lastRow="0" w:firstColumn="1" w:lastColumn="0" w:noHBand="0" w:noVBand="1"/>
      </w:tblPr>
      <w:tblGrid>
        <w:gridCol w:w="1696"/>
        <w:gridCol w:w="1276"/>
        <w:gridCol w:w="1276"/>
        <w:gridCol w:w="1276"/>
        <w:gridCol w:w="1417"/>
        <w:gridCol w:w="1276"/>
        <w:gridCol w:w="1417"/>
      </w:tblGrid>
      <w:tr w:rsidR="00F34D17" w:rsidRPr="0047422E" w14:paraId="1386B908" w14:textId="4B8BB585" w:rsidTr="00ED76BD">
        <w:trPr>
          <w:trHeight w:val="385"/>
        </w:trPr>
        <w:tc>
          <w:tcPr>
            <w:tcW w:w="1696" w:type="dxa"/>
            <w:vMerge w:val="restart"/>
            <w:vAlign w:val="center"/>
          </w:tcPr>
          <w:p w14:paraId="2C317DD8" w14:textId="77777777" w:rsidR="00F34D17" w:rsidRPr="0047422E" w:rsidRDefault="00F34D17" w:rsidP="0005477D">
            <w:pPr>
              <w:jc w:val="center"/>
              <w:rPr>
                <w:sz w:val="20"/>
                <w:szCs w:val="20"/>
                <w:lang w:val="en-CA"/>
              </w:rPr>
            </w:pPr>
          </w:p>
        </w:tc>
        <w:tc>
          <w:tcPr>
            <w:tcW w:w="2552" w:type="dxa"/>
            <w:gridSpan w:val="2"/>
            <w:vAlign w:val="center"/>
          </w:tcPr>
          <w:p w14:paraId="01B585D0" w14:textId="7C1283CB" w:rsidR="00F34D17" w:rsidRPr="0047422E" w:rsidRDefault="00F34D17" w:rsidP="0005477D">
            <w:pPr>
              <w:jc w:val="center"/>
              <w:rPr>
                <w:sz w:val="20"/>
                <w:szCs w:val="20"/>
                <w:lang w:val="en-CA"/>
              </w:rPr>
            </w:pPr>
            <w:r w:rsidRPr="0047422E">
              <w:rPr>
                <w:sz w:val="20"/>
                <w:szCs w:val="20"/>
                <w:lang w:val="en-CA"/>
              </w:rPr>
              <w:t>H2 – High-risk group</w:t>
            </w:r>
          </w:p>
        </w:tc>
        <w:tc>
          <w:tcPr>
            <w:tcW w:w="2693" w:type="dxa"/>
            <w:gridSpan w:val="2"/>
            <w:vAlign w:val="center"/>
          </w:tcPr>
          <w:p w14:paraId="2BDB34D6" w14:textId="35F680BC" w:rsidR="00F34D17" w:rsidRPr="0047422E" w:rsidRDefault="00F34D17" w:rsidP="0005477D">
            <w:pPr>
              <w:jc w:val="center"/>
              <w:rPr>
                <w:sz w:val="20"/>
                <w:szCs w:val="20"/>
                <w:lang w:val="en-CA"/>
              </w:rPr>
            </w:pPr>
            <w:r w:rsidRPr="0047422E">
              <w:rPr>
                <w:sz w:val="20"/>
                <w:szCs w:val="20"/>
                <w:lang w:val="en-CA"/>
              </w:rPr>
              <w:t>H3 – Low-risk group</w:t>
            </w:r>
          </w:p>
        </w:tc>
        <w:tc>
          <w:tcPr>
            <w:tcW w:w="2693" w:type="dxa"/>
            <w:gridSpan w:val="2"/>
            <w:vAlign w:val="center"/>
          </w:tcPr>
          <w:p w14:paraId="49BF931F" w14:textId="1A6B6B44" w:rsidR="00F34D17" w:rsidRPr="0047422E" w:rsidRDefault="00B005CE" w:rsidP="0005477D">
            <w:pPr>
              <w:jc w:val="center"/>
              <w:rPr>
                <w:sz w:val="20"/>
                <w:szCs w:val="20"/>
                <w:lang w:val="en-CA"/>
              </w:rPr>
            </w:pPr>
            <w:r w:rsidRPr="0047422E">
              <w:rPr>
                <w:sz w:val="20"/>
                <w:szCs w:val="20"/>
                <w:lang w:val="en-CA"/>
              </w:rPr>
              <w:t xml:space="preserve">All </w:t>
            </w:r>
            <w:r w:rsidR="00130B8C" w:rsidRPr="0047422E">
              <w:rPr>
                <w:sz w:val="20"/>
                <w:szCs w:val="20"/>
                <w:lang w:val="en-CA"/>
              </w:rPr>
              <w:t>D</w:t>
            </w:r>
            <w:r w:rsidRPr="0047422E">
              <w:rPr>
                <w:sz w:val="20"/>
                <w:szCs w:val="20"/>
                <w:lang w:val="en-CA"/>
              </w:rPr>
              <w:t>ata</w:t>
            </w:r>
          </w:p>
        </w:tc>
      </w:tr>
      <w:tr w:rsidR="00ED76BD" w:rsidRPr="0047422E" w14:paraId="4C4E8B74" w14:textId="557BE400" w:rsidTr="00ED76BD">
        <w:trPr>
          <w:trHeight w:val="404"/>
        </w:trPr>
        <w:tc>
          <w:tcPr>
            <w:tcW w:w="1696" w:type="dxa"/>
            <w:vMerge/>
            <w:vAlign w:val="center"/>
          </w:tcPr>
          <w:p w14:paraId="327536BB" w14:textId="77777777" w:rsidR="00B005CE" w:rsidRPr="0047422E" w:rsidRDefault="00B005CE" w:rsidP="0005477D">
            <w:pPr>
              <w:jc w:val="center"/>
              <w:rPr>
                <w:sz w:val="20"/>
                <w:szCs w:val="20"/>
                <w:vertAlign w:val="subscript"/>
                <w:lang w:val="en-CA"/>
              </w:rPr>
            </w:pPr>
          </w:p>
        </w:tc>
        <w:tc>
          <w:tcPr>
            <w:tcW w:w="1276" w:type="dxa"/>
            <w:vAlign w:val="center"/>
          </w:tcPr>
          <w:p w14:paraId="55C18112" w14:textId="6559D485" w:rsidR="00B005CE" w:rsidRPr="0047422E" w:rsidRDefault="00B005CE" w:rsidP="0005477D">
            <w:pPr>
              <w:jc w:val="center"/>
              <w:rPr>
                <w:sz w:val="20"/>
                <w:szCs w:val="20"/>
                <w:lang w:val="en-CA"/>
              </w:rPr>
            </w:pPr>
            <w:r w:rsidRPr="0047422E">
              <w:rPr>
                <w:sz w:val="20"/>
                <w:szCs w:val="20"/>
                <w:lang w:val="en-CA"/>
              </w:rPr>
              <w:t>Outcome score</w:t>
            </w:r>
          </w:p>
        </w:tc>
        <w:tc>
          <w:tcPr>
            <w:tcW w:w="1276" w:type="dxa"/>
            <w:vAlign w:val="center"/>
          </w:tcPr>
          <w:p w14:paraId="7B8160E8" w14:textId="6578A65F" w:rsidR="00B005CE" w:rsidRPr="0047422E" w:rsidRDefault="00B005CE" w:rsidP="0005477D">
            <w:pPr>
              <w:jc w:val="center"/>
              <w:rPr>
                <w:sz w:val="20"/>
                <w:szCs w:val="20"/>
                <w:lang w:val="en-CA"/>
              </w:rPr>
            </w:pPr>
            <w:r w:rsidRPr="0047422E">
              <w:rPr>
                <w:sz w:val="20"/>
                <w:szCs w:val="20"/>
                <w:lang w:val="en-CA"/>
              </w:rPr>
              <w:t>Length of stay</w:t>
            </w:r>
          </w:p>
        </w:tc>
        <w:tc>
          <w:tcPr>
            <w:tcW w:w="1276" w:type="dxa"/>
            <w:vAlign w:val="center"/>
          </w:tcPr>
          <w:p w14:paraId="2D6FAE87" w14:textId="0A4DF8C9" w:rsidR="00B005CE" w:rsidRPr="0047422E" w:rsidRDefault="00B005CE" w:rsidP="0005477D">
            <w:pPr>
              <w:jc w:val="center"/>
              <w:rPr>
                <w:sz w:val="20"/>
                <w:szCs w:val="20"/>
                <w:lang w:val="en-CA"/>
              </w:rPr>
            </w:pPr>
            <w:r w:rsidRPr="0047422E">
              <w:rPr>
                <w:sz w:val="20"/>
                <w:szCs w:val="20"/>
                <w:lang w:val="en-CA"/>
              </w:rPr>
              <w:t>Outcome score</w:t>
            </w:r>
          </w:p>
        </w:tc>
        <w:tc>
          <w:tcPr>
            <w:tcW w:w="1417" w:type="dxa"/>
            <w:vAlign w:val="center"/>
          </w:tcPr>
          <w:p w14:paraId="30872977" w14:textId="03272774" w:rsidR="00B005CE" w:rsidRPr="0047422E" w:rsidRDefault="00B005CE" w:rsidP="0005477D">
            <w:pPr>
              <w:jc w:val="center"/>
              <w:rPr>
                <w:sz w:val="20"/>
                <w:szCs w:val="20"/>
                <w:lang w:val="en-CA"/>
              </w:rPr>
            </w:pPr>
            <w:r w:rsidRPr="0047422E">
              <w:rPr>
                <w:sz w:val="20"/>
                <w:szCs w:val="20"/>
                <w:lang w:val="en-CA"/>
              </w:rPr>
              <w:t>Length of stay</w:t>
            </w:r>
          </w:p>
        </w:tc>
        <w:tc>
          <w:tcPr>
            <w:tcW w:w="1276" w:type="dxa"/>
            <w:vAlign w:val="center"/>
          </w:tcPr>
          <w:p w14:paraId="70F73725" w14:textId="361121D3" w:rsidR="00B005CE" w:rsidRPr="0047422E" w:rsidRDefault="00B005CE" w:rsidP="0005477D">
            <w:pPr>
              <w:jc w:val="center"/>
              <w:rPr>
                <w:sz w:val="20"/>
                <w:szCs w:val="20"/>
                <w:lang w:val="en-CA"/>
              </w:rPr>
            </w:pPr>
            <w:r w:rsidRPr="0047422E">
              <w:rPr>
                <w:sz w:val="20"/>
                <w:szCs w:val="20"/>
                <w:lang w:val="en-CA"/>
              </w:rPr>
              <w:t>Outcome score</w:t>
            </w:r>
          </w:p>
        </w:tc>
        <w:tc>
          <w:tcPr>
            <w:tcW w:w="1417" w:type="dxa"/>
            <w:vAlign w:val="center"/>
          </w:tcPr>
          <w:p w14:paraId="0CE6C8BE" w14:textId="4A4B5ECA" w:rsidR="00B005CE" w:rsidRPr="0047422E" w:rsidRDefault="00B005CE" w:rsidP="0005477D">
            <w:pPr>
              <w:jc w:val="center"/>
              <w:rPr>
                <w:sz w:val="20"/>
                <w:szCs w:val="20"/>
                <w:lang w:val="en-CA"/>
              </w:rPr>
            </w:pPr>
            <w:r w:rsidRPr="0047422E">
              <w:rPr>
                <w:sz w:val="20"/>
                <w:szCs w:val="20"/>
                <w:lang w:val="en-CA"/>
              </w:rPr>
              <w:t>Length of stay</w:t>
            </w:r>
          </w:p>
        </w:tc>
      </w:tr>
      <w:tr w:rsidR="00ED76BD" w:rsidRPr="0047422E" w14:paraId="22988A62" w14:textId="4AB81198" w:rsidTr="00ED76BD">
        <w:trPr>
          <w:trHeight w:val="538"/>
        </w:trPr>
        <w:tc>
          <w:tcPr>
            <w:tcW w:w="1696" w:type="dxa"/>
            <w:vAlign w:val="center"/>
          </w:tcPr>
          <w:p w14:paraId="1C4AE177" w14:textId="6418B350" w:rsidR="00B005CE" w:rsidRPr="0047422E" w:rsidRDefault="00ED76BD" w:rsidP="0005477D">
            <w:pPr>
              <w:jc w:val="center"/>
              <w:rPr>
                <w:sz w:val="20"/>
                <w:szCs w:val="20"/>
                <w:vertAlign w:val="subscript"/>
                <w:lang w:val="en-CA"/>
              </w:rPr>
            </w:pPr>
            <w:r w:rsidRPr="00ED76BD">
              <w:rPr>
                <w:lang w:val="en-CA"/>
              </w:rPr>
              <w:t>µ</w:t>
            </w:r>
            <w:r>
              <w:rPr>
                <w:lang w:val="en-CA"/>
              </w:rPr>
              <w:t xml:space="preserve"> </w:t>
            </w:r>
            <w:r w:rsidR="00B005CE" w:rsidRPr="0047422E">
              <w:rPr>
                <w:sz w:val="20"/>
                <w:szCs w:val="20"/>
                <w:vertAlign w:val="subscript"/>
                <w:lang w:val="en-CA"/>
              </w:rPr>
              <w:t>Not Induced</w:t>
            </w:r>
          </w:p>
        </w:tc>
        <w:tc>
          <w:tcPr>
            <w:tcW w:w="1276" w:type="dxa"/>
            <w:vAlign w:val="center"/>
          </w:tcPr>
          <w:p w14:paraId="7FB85EE1" w14:textId="2300765B" w:rsidR="00B005CE" w:rsidRPr="0047422E" w:rsidRDefault="00B005CE"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1.0</w:t>
            </w:r>
            <w:r w:rsidR="004924F6" w:rsidRPr="0047422E">
              <w:rPr>
                <w:rFonts w:ascii="Times New Roman" w:hAnsi="Times New Roman" w:cs="Times New Roman"/>
                <w:color w:val="000000"/>
              </w:rPr>
              <w:t>4</w:t>
            </w:r>
          </w:p>
        </w:tc>
        <w:tc>
          <w:tcPr>
            <w:tcW w:w="1276" w:type="dxa"/>
            <w:vAlign w:val="center"/>
          </w:tcPr>
          <w:p w14:paraId="5F1CD6F8" w14:textId="5AA8FB42" w:rsidR="00B005CE" w:rsidRPr="0047422E" w:rsidRDefault="00B005CE"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2.82</w:t>
            </w:r>
          </w:p>
        </w:tc>
        <w:tc>
          <w:tcPr>
            <w:tcW w:w="1276" w:type="dxa"/>
            <w:vAlign w:val="center"/>
          </w:tcPr>
          <w:p w14:paraId="706FE466" w14:textId="23C0285A" w:rsidR="00B005CE" w:rsidRPr="0047422E" w:rsidRDefault="004924F6" w:rsidP="0005477D">
            <w:pPr>
              <w:jc w:val="center"/>
              <w:rPr>
                <w:sz w:val="20"/>
                <w:szCs w:val="20"/>
                <w:lang w:val="vi-VN"/>
              </w:rPr>
            </w:pPr>
            <w:r w:rsidRPr="0047422E">
              <w:rPr>
                <w:sz w:val="20"/>
                <w:szCs w:val="20"/>
                <w:lang w:val="vi-VN"/>
              </w:rPr>
              <w:t>1.02</w:t>
            </w:r>
          </w:p>
        </w:tc>
        <w:tc>
          <w:tcPr>
            <w:tcW w:w="1417" w:type="dxa"/>
            <w:vAlign w:val="center"/>
          </w:tcPr>
          <w:p w14:paraId="0F9A0402" w14:textId="2A592684" w:rsidR="00B005CE" w:rsidRPr="0047422E" w:rsidRDefault="004924F6" w:rsidP="0005477D">
            <w:pPr>
              <w:jc w:val="center"/>
              <w:rPr>
                <w:sz w:val="20"/>
                <w:szCs w:val="20"/>
                <w:lang w:val="en-CA"/>
              </w:rPr>
            </w:pPr>
            <w:r w:rsidRPr="0047422E">
              <w:rPr>
                <w:sz w:val="20"/>
                <w:szCs w:val="20"/>
                <w:lang w:val="en-CA"/>
              </w:rPr>
              <w:t>1.8</w:t>
            </w:r>
            <w:r w:rsidR="00130B8C" w:rsidRPr="0047422E">
              <w:rPr>
                <w:sz w:val="20"/>
                <w:szCs w:val="20"/>
                <w:lang w:val="en-CA"/>
              </w:rPr>
              <w:t>6</w:t>
            </w:r>
          </w:p>
        </w:tc>
        <w:tc>
          <w:tcPr>
            <w:tcW w:w="1276" w:type="dxa"/>
            <w:vAlign w:val="center"/>
          </w:tcPr>
          <w:p w14:paraId="51739CC1" w14:textId="31343251" w:rsidR="00B005CE" w:rsidRPr="0047422E" w:rsidRDefault="00130B8C" w:rsidP="0005477D">
            <w:pPr>
              <w:jc w:val="center"/>
              <w:rPr>
                <w:sz w:val="20"/>
                <w:szCs w:val="20"/>
                <w:lang w:val="en-CA"/>
              </w:rPr>
            </w:pPr>
            <w:r w:rsidRPr="0047422E">
              <w:rPr>
                <w:sz w:val="20"/>
                <w:szCs w:val="20"/>
                <w:lang w:val="en-CA"/>
              </w:rPr>
              <w:t>1.03</w:t>
            </w:r>
          </w:p>
        </w:tc>
        <w:tc>
          <w:tcPr>
            <w:tcW w:w="1417" w:type="dxa"/>
            <w:vAlign w:val="center"/>
          </w:tcPr>
          <w:p w14:paraId="1287C1B3" w14:textId="017E7051" w:rsidR="00B005CE" w:rsidRPr="0047422E" w:rsidRDefault="00130B8C" w:rsidP="0005477D">
            <w:pPr>
              <w:jc w:val="center"/>
              <w:rPr>
                <w:sz w:val="20"/>
                <w:szCs w:val="20"/>
                <w:lang w:val="en-CA"/>
              </w:rPr>
            </w:pPr>
            <w:r w:rsidRPr="0047422E">
              <w:rPr>
                <w:sz w:val="20"/>
                <w:szCs w:val="20"/>
                <w:lang w:val="en-CA"/>
              </w:rPr>
              <w:t>2.20</w:t>
            </w:r>
          </w:p>
        </w:tc>
      </w:tr>
      <w:tr w:rsidR="00ED76BD" w:rsidRPr="0047422E" w14:paraId="6FA6A97F" w14:textId="77777777" w:rsidTr="00ED76BD">
        <w:trPr>
          <w:trHeight w:val="538"/>
        </w:trPr>
        <w:tc>
          <w:tcPr>
            <w:tcW w:w="1696" w:type="dxa"/>
            <w:vAlign w:val="center"/>
          </w:tcPr>
          <w:p w14:paraId="3B211779" w14:textId="6AA55772" w:rsidR="0005477D" w:rsidRPr="0047422E" w:rsidRDefault="00ED76BD" w:rsidP="0005477D">
            <w:pPr>
              <w:jc w:val="center"/>
              <w:rPr>
                <w:sz w:val="20"/>
                <w:szCs w:val="20"/>
                <w:lang w:val="en-CA"/>
              </w:rPr>
            </w:pPr>
            <w:r w:rsidRPr="00ED76BD">
              <w:rPr>
                <w:lang w:val="en-CA"/>
              </w:rPr>
              <w:t>µ</w:t>
            </w:r>
            <w:r>
              <w:rPr>
                <w:lang w:val="en-CA"/>
              </w:rPr>
              <w:t xml:space="preserve"> </w:t>
            </w:r>
            <w:r w:rsidR="0005477D" w:rsidRPr="0047422E">
              <w:rPr>
                <w:sz w:val="20"/>
                <w:szCs w:val="20"/>
                <w:vertAlign w:val="subscript"/>
                <w:lang w:val="en-CA"/>
              </w:rPr>
              <w:t>Induced</w:t>
            </w:r>
          </w:p>
        </w:tc>
        <w:tc>
          <w:tcPr>
            <w:tcW w:w="1276" w:type="dxa"/>
            <w:vAlign w:val="center"/>
          </w:tcPr>
          <w:p w14:paraId="7F8E3F7D" w14:textId="568B5F62"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1.02</w:t>
            </w:r>
          </w:p>
        </w:tc>
        <w:tc>
          <w:tcPr>
            <w:tcW w:w="1276" w:type="dxa"/>
            <w:vAlign w:val="center"/>
          </w:tcPr>
          <w:p w14:paraId="0F26AA01" w14:textId="3BD70D44"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2.67</w:t>
            </w:r>
          </w:p>
        </w:tc>
        <w:tc>
          <w:tcPr>
            <w:tcW w:w="1276" w:type="dxa"/>
            <w:vAlign w:val="center"/>
          </w:tcPr>
          <w:p w14:paraId="5954AB20" w14:textId="4424BB4D" w:rsidR="0005477D" w:rsidRPr="0047422E" w:rsidRDefault="0005477D" w:rsidP="0005477D">
            <w:pPr>
              <w:jc w:val="center"/>
              <w:rPr>
                <w:sz w:val="20"/>
                <w:szCs w:val="20"/>
                <w:lang w:val="vi-VN"/>
              </w:rPr>
            </w:pPr>
            <w:r w:rsidRPr="0047422E">
              <w:rPr>
                <w:sz w:val="20"/>
                <w:szCs w:val="20"/>
                <w:lang w:val="vi-VN"/>
              </w:rPr>
              <w:t>1.03</w:t>
            </w:r>
          </w:p>
        </w:tc>
        <w:tc>
          <w:tcPr>
            <w:tcW w:w="1417" w:type="dxa"/>
            <w:vAlign w:val="center"/>
          </w:tcPr>
          <w:p w14:paraId="2035BE66" w14:textId="50324B65" w:rsidR="0005477D" w:rsidRPr="0047422E" w:rsidRDefault="0005477D" w:rsidP="0005477D">
            <w:pPr>
              <w:jc w:val="center"/>
              <w:rPr>
                <w:sz w:val="20"/>
                <w:szCs w:val="20"/>
                <w:lang w:val="en-CA"/>
              </w:rPr>
            </w:pPr>
            <w:r w:rsidRPr="0047422E">
              <w:rPr>
                <w:sz w:val="20"/>
                <w:szCs w:val="20"/>
                <w:lang w:val="en-CA"/>
              </w:rPr>
              <w:t>2.19</w:t>
            </w:r>
          </w:p>
        </w:tc>
        <w:tc>
          <w:tcPr>
            <w:tcW w:w="1276" w:type="dxa"/>
            <w:vAlign w:val="center"/>
          </w:tcPr>
          <w:p w14:paraId="48D60561" w14:textId="3483340A" w:rsidR="0005477D" w:rsidRPr="0047422E" w:rsidRDefault="0005477D" w:rsidP="0005477D">
            <w:pPr>
              <w:jc w:val="center"/>
              <w:rPr>
                <w:sz w:val="20"/>
                <w:szCs w:val="20"/>
                <w:lang w:val="en-CA"/>
              </w:rPr>
            </w:pPr>
            <w:r w:rsidRPr="0047422E">
              <w:rPr>
                <w:sz w:val="20"/>
                <w:szCs w:val="20"/>
                <w:lang w:val="en-CA"/>
              </w:rPr>
              <w:t>1.03</w:t>
            </w:r>
          </w:p>
        </w:tc>
        <w:tc>
          <w:tcPr>
            <w:tcW w:w="1417" w:type="dxa"/>
            <w:vAlign w:val="center"/>
          </w:tcPr>
          <w:p w14:paraId="5599282A" w14:textId="28702F03" w:rsidR="0005477D" w:rsidRPr="0047422E" w:rsidRDefault="0005477D" w:rsidP="0005477D">
            <w:pPr>
              <w:jc w:val="center"/>
              <w:rPr>
                <w:sz w:val="20"/>
                <w:szCs w:val="20"/>
                <w:lang w:val="en-CA"/>
              </w:rPr>
            </w:pPr>
            <w:r w:rsidRPr="0047422E">
              <w:rPr>
                <w:sz w:val="20"/>
                <w:szCs w:val="20"/>
                <w:lang w:val="en-CA"/>
              </w:rPr>
              <w:t>2.38</w:t>
            </w:r>
          </w:p>
        </w:tc>
      </w:tr>
      <w:tr w:rsidR="00ED76BD" w:rsidRPr="0047422E" w14:paraId="0A22CF0C" w14:textId="7D1E9C75" w:rsidTr="00ED76BD">
        <w:trPr>
          <w:trHeight w:val="579"/>
        </w:trPr>
        <w:tc>
          <w:tcPr>
            <w:tcW w:w="1696" w:type="dxa"/>
            <w:vAlign w:val="center"/>
          </w:tcPr>
          <w:p w14:paraId="51019A48" w14:textId="13F8A94D" w:rsidR="0005477D" w:rsidRPr="0047422E" w:rsidRDefault="00ED76BD" w:rsidP="0005477D">
            <w:pPr>
              <w:jc w:val="center"/>
              <w:rPr>
                <w:sz w:val="20"/>
                <w:szCs w:val="20"/>
                <w:vertAlign w:val="subscript"/>
                <w:lang w:val="en-CA"/>
              </w:rPr>
            </w:pPr>
            <w:r w:rsidRPr="00ED76BD">
              <w:rPr>
                <w:lang w:val="en-CA"/>
              </w:rPr>
              <w:t>µ</w:t>
            </w:r>
            <w:r w:rsidRPr="0047422E">
              <w:rPr>
                <w:sz w:val="20"/>
                <w:szCs w:val="20"/>
                <w:vertAlign w:val="subscript"/>
                <w:lang w:val="en-CA"/>
              </w:rPr>
              <w:t>Not</w:t>
            </w:r>
            <w:r>
              <w:rPr>
                <w:sz w:val="20"/>
                <w:szCs w:val="20"/>
                <w:vertAlign w:val="subscript"/>
                <w:lang w:val="en-CA"/>
              </w:rPr>
              <w:t xml:space="preserve"> </w:t>
            </w:r>
            <w:r w:rsidRPr="0047422E">
              <w:rPr>
                <w:sz w:val="20"/>
                <w:szCs w:val="20"/>
                <w:vertAlign w:val="subscript"/>
                <w:lang w:val="en-CA"/>
              </w:rPr>
              <w:t>Induced</w:t>
            </w:r>
            <w:r>
              <w:rPr>
                <w:sz w:val="20"/>
                <w:szCs w:val="20"/>
                <w:vertAlign w:val="subscript"/>
                <w:lang w:val="en-CA"/>
              </w:rPr>
              <w:t xml:space="preserve"> -</w:t>
            </w:r>
            <w:r>
              <w:rPr>
                <w:sz w:val="20"/>
                <w:szCs w:val="20"/>
                <w:lang w:val="en-CA"/>
              </w:rPr>
              <w:t xml:space="preserve"> </w:t>
            </w:r>
            <w:r w:rsidRPr="00ED76BD">
              <w:rPr>
                <w:lang w:val="en-CA"/>
              </w:rPr>
              <w:t>µ</w:t>
            </w:r>
            <w:r w:rsidRPr="0047422E">
              <w:rPr>
                <w:sz w:val="20"/>
                <w:szCs w:val="20"/>
                <w:vertAlign w:val="subscript"/>
                <w:lang w:val="en-CA"/>
              </w:rPr>
              <w:t>Induced</w:t>
            </w:r>
            <w:r>
              <w:rPr>
                <w:sz w:val="20"/>
                <w:szCs w:val="20"/>
                <w:vertAlign w:val="subscript"/>
                <w:lang w:val="en-CA"/>
              </w:rPr>
              <w:t xml:space="preserve"> </w:t>
            </w:r>
            <w:r w:rsidR="0005477D" w:rsidRPr="0047422E">
              <w:rPr>
                <w:sz w:val="20"/>
                <w:szCs w:val="20"/>
                <w:vertAlign w:val="subscript"/>
                <w:lang w:val="en-CA"/>
              </w:rPr>
              <w:br/>
              <w:t>(95% CI)</w:t>
            </w:r>
          </w:p>
        </w:tc>
        <w:tc>
          <w:tcPr>
            <w:tcW w:w="1276" w:type="dxa"/>
            <w:vAlign w:val="center"/>
          </w:tcPr>
          <w:p w14:paraId="45889D57" w14:textId="16CA93C5" w:rsidR="0005477D" w:rsidRPr="0047422E" w:rsidRDefault="0005477D" w:rsidP="0005477D">
            <w:pPr>
              <w:jc w:val="center"/>
              <w:rPr>
                <w:sz w:val="20"/>
                <w:szCs w:val="20"/>
                <w:lang w:val="en-CA"/>
              </w:rPr>
            </w:pPr>
            <w:r w:rsidRPr="0047422E">
              <w:rPr>
                <w:sz w:val="20"/>
                <w:szCs w:val="20"/>
                <w:lang w:val="en-CA"/>
              </w:rPr>
              <w:t>-0.01 to 0.04</w:t>
            </w:r>
          </w:p>
        </w:tc>
        <w:tc>
          <w:tcPr>
            <w:tcW w:w="1276" w:type="dxa"/>
            <w:vAlign w:val="center"/>
          </w:tcPr>
          <w:p w14:paraId="2508DCA3" w14:textId="7B49BBC6" w:rsidR="0005477D" w:rsidRPr="0047422E" w:rsidRDefault="0005477D" w:rsidP="0005477D">
            <w:pPr>
              <w:jc w:val="center"/>
              <w:rPr>
                <w:sz w:val="20"/>
                <w:szCs w:val="20"/>
                <w:lang w:val="en-CA"/>
              </w:rPr>
            </w:pPr>
            <w:r w:rsidRPr="0047422E">
              <w:rPr>
                <w:sz w:val="20"/>
                <w:szCs w:val="20"/>
                <w:lang w:val="en-CA"/>
              </w:rPr>
              <w:t>0.02 to 0.27</w:t>
            </w:r>
          </w:p>
        </w:tc>
        <w:tc>
          <w:tcPr>
            <w:tcW w:w="1276" w:type="dxa"/>
            <w:vAlign w:val="center"/>
          </w:tcPr>
          <w:p w14:paraId="60051E5F" w14:textId="60863097" w:rsidR="0005477D" w:rsidRPr="0047422E" w:rsidRDefault="0005477D" w:rsidP="0005477D">
            <w:pPr>
              <w:jc w:val="center"/>
              <w:rPr>
                <w:sz w:val="20"/>
                <w:szCs w:val="20"/>
                <w:lang w:val="vi-VN"/>
              </w:rPr>
            </w:pPr>
            <w:r w:rsidRPr="0047422E">
              <w:rPr>
                <w:sz w:val="20"/>
                <w:szCs w:val="20"/>
                <w:lang w:val="en-CA"/>
              </w:rPr>
              <w:t>-</w:t>
            </w:r>
            <w:r w:rsidRPr="0047422E">
              <w:rPr>
                <w:sz w:val="20"/>
                <w:szCs w:val="20"/>
                <w:lang w:val="vi-VN"/>
              </w:rPr>
              <w:t>0.03 to 0.01</w:t>
            </w:r>
          </w:p>
        </w:tc>
        <w:tc>
          <w:tcPr>
            <w:tcW w:w="1417" w:type="dxa"/>
            <w:vAlign w:val="center"/>
          </w:tcPr>
          <w:p w14:paraId="3F6B1574" w14:textId="64D48637" w:rsidR="0005477D" w:rsidRPr="0047422E" w:rsidRDefault="0005477D" w:rsidP="0005477D">
            <w:pPr>
              <w:jc w:val="center"/>
              <w:rPr>
                <w:sz w:val="20"/>
                <w:szCs w:val="20"/>
                <w:lang w:val="en-CA"/>
              </w:rPr>
            </w:pPr>
            <w:r w:rsidRPr="0047422E">
              <w:rPr>
                <w:sz w:val="20"/>
                <w:szCs w:val="20"/>
                <w:lang w:val="en-CA"/>
              </w:rPr>
              <w:t>-0.41 to -0.26</w:t>
            </w:r>
          </w:p>
        </w:tc>
        <w:tc>
          <w:tcPr>
            <w:tcW w:w="1276" w:type="dxa"/>
            <w:vAlign w:val="center"/>
          </w:tcPr>
          <w:p w14:paraId="5E2E9394" w14:textId="3D7B549E" w:rsidR="0005477D" w:rsidRPr="0047422E" w:rsidRDefault="0005477D" w:rsidP="0005477D">
            <w:pPr>
              <w:jc w:val="center"/>
              <w:rPr>
                <w:sz w:val="20"/>
                <w:szCs w:val="20"/>
                <w:lang w:val="en-CA"/>
              </w:rPr>
            </w:pPr>
            <w:r w:rsidRPr="0047422E">
              <w:rPr>
                <w:sz w:val="20"/>
                <w:szCs w:val="20"/>
                <w:lang w:val="en-CA"/>
              </w:rPr>
              <w:t>-0.02 to 0.02</w:t>
            </w:r>
          </w:p>
        </w:tc>
        <w:tc>
          <w:tcPr>
            <w:tcW w:w="1417" w:type="dxa"/>
            <w:vAlign w:val="center"/>
          </w:tcPr>
          <w:p w14:paraId="1A6529B2" w14:textId="5AA03DC2" w:rsidR="0005477D" w:rsidRPr="0047422E" w:rsidRDefault="0005477D" w:rsidP="0005477D">
            <w:pPr>
              <w:jc w:val="center"/>
              <w:rPr>
                <w:sz w:val="20"/>
                <w:szCs w:val="20"/>
                <w:lang w:val="en-CA"/>
              </w:rPr>
            </w:pPr>
            <w:r w:rsidRPr="0047422E">
              <w:rPr>
                <w:sz w:val="20"/>
                <w:szCs w:val="20"/>
                <w:lang w:val="en-CA"/>
              </w:rPr>
              <w:t>-0.25 to -0.12</w:t>
            </w:r>
          </w:p>
        </w:tc>
      </w:tr>
      <w:tr w:rsidR="00ED76BD" w:rsidRPr="0047422E" w14:paraId="6C02FD7C" w14:textId="35FD4870" w:rsidTr="00ED76BD">
        <w:trPr>
          <w:trHeight w:val="429"/>
        </w:trPr>
        <w:tc>
          <w:tcPr>
            <w:tcW w:w="1696" w:type="dxa"/>
            <w:vAlign w:val="center"/>
          </w:tcPr>
          <w:p w14:paraId="6DBA4D1E" w14:textId="64EB4555" w:rsidR="0005477D" w:rsidRPr="0047422E" w:rsidRDefault="0005477D" w:rsidP="0005477D">
            <w:pPr>
              <w:jc w:val="center"/>
              <w:rPr>
                <w:sz w:val="20"/>
                <w:szCs w:val="20"/>
                <w:lang w:val="en-CA"/>
              </w:rPr>
            </w:pPr>
            <w:r w:rsidRPr="0047422E">
              <w:rPr>
                <w:sz w:val="20"/>
                <w:szCs w:val="20"/>
                <w:lang w:val="en-CA"/>
              </w:rPr>
              <w:t>t</w:t>
            </w:r>
          </w:p>
        </w:tc>
        <w:tc>
          <w:tcPr>
            <w:tcW w:w="1276" w:type="dxa"/>
            <w:vAlign w:val="center"/>
          </w:tcPr>
          <w:p w14:paraId="1F2D76C1" w14:textId="55F1AEF7"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1.1703</w:t>
            </w:r>
          </w:p>
        </w:tc>
        <w:tc>
          <w:tcPr>
            <w:tcW w:w="1276" w:type="dxa"/>
            <w:vAlign w:val="center"/>
          </w:tcPr>
          <w:p w14:paraId="2E319185" w14:textId="239968F2"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2.2827</w:t>
            </w:r>
          </w:p>
        </w:tc>
        <w:tc>
          <w:tcPr>
            <w:tcW w:w="1276" w:type="dxa"/>
            <w:vAlign w:val="center"/>
          </w:tcPr>
          <w:p w14:paraId="3EA87921" w14:textId="11C7CBDB"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-0.85894</w:t>
            </w:r>
          </w:p>
        </w:tc>
        <w:tc>
          <w:tcPr>
            <w:tcW w:w="1417" w:type="dxa"/>
            <w:vAlign w:val="center"/>
          </w:tcPr>
          <w:p w14:paraId="603BAA59" w14:textId="49521188"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-9.0857</w:t>
            </w:r>
          </w:p>
        </w:tc>
        <w:tc>
          <w:tcPr>
            <w:tcW w:w="1276" w:type="dxa"/>
            <w:vAlign w:val="center"/>
          </w:tcPr>
          <w:p w14:paraId="2F10BEAD" w14:textId="1345FBCD"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-0.15255</w:t>
            </w:r>
          </w:p>
        </w:tc>
        <w:tc>
          <w:tcPr>
            <w:tcW w:w="1417" w:type="dxa"/>
            <w:vAlign w:val="center"/>
          </w:tcPr>
          <w:p w14:paraId="50D0C20F" w14:textId="6D1E7746"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-5.5197</w:t>
            </w:r>
          </w:p>
        </w:tc>
      </w:tr>
      <w:tr w:rsidR="00ED76BD" w:rsidRPr="0047422E" w14:paraId="79E2DB2A" w14:textId="73B19D53" w:rsidTr="00ED76BD">
        <w:trPr>
          <w:trHeight w:val="403"/>
        </w:trPr>
        <w:tc>
          <w:tcPr>
            <w:tcW w:w="1696" w:type="dxa"/>
            <w:vAlign w:val="center"/>
          </w:tcPr>
          <w:p w14:paraId="1D9A9D3D" w14:textId="311084F4" w:rsidR="0005477D" w:rsidRPr="0047422E" w:rsidRDefault="0005477D" w:rsidP="0005477D">
            <w:pPr>
              <w:jc w:val="center"/>
              <w:rPr>
                <w:sz w:val="20"/>
                <w:szCs w:val="20"/>
                <w:lang w:val="en-CA"/>
              </w:rPr>
            </w:pPr>
            <w:r w:rsidRPr="0047422E">
              <w:rPr>
                <w:sz w:val="20"/>
                <w:szCs w:val="20"/>
                <w:lang w:val="en-CA"/>
              </w:rPr>
              <w:t>p-value</w:t>
            </w:r>
          </w:p>
        </w:tc>
        <w:tc>
          <w:tcPr>
            <w:tcW w:w="1276" w:type="dxa"/>
            <w:vAlign w:val="center"/>
          </w:tcPr>
          <w:p w14:paraId="4F8EE14F" w14:textId="2E781693"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0.2422</w:t>
            </w:r>
          </w:p>
        </w:tc>
        <w:tc>
          <w:tcPr>
            <w:tcW w:w="1276" w:type="dxa"/>
            <w:vAlign w:val="center"/>
          </w:tcPr>
          <w:p w14:paraId="37667DB9" w14:textId="4F5BDFC2"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0.02261*</w:t>
            </w:r>
          </w:p>
        </w:tc>
        <w:tc>
          <w:tcPr>
            <w:tcW w:w="1276" w:type="dxa"/>
            <w:vAlign w:val="center"/>
          </w:tcPr>
          <w:p w14:paraId="71F1FCDE" w14:textId="3F7A6CC1"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0.3906</w:t>
            </w:r>
          </w:p>
        </w:tc>
        <w:tc>
          <w:tcPr>
            <w:tcW w:w="1417" w:type="dxa"/>
            <w:vAlign w:val="center"/>
          </w:tcPr>
          <w:p w14:paraId="6B7EC89B" w14:textId="29CD577E" w:rsidR="0005477D" w:rsidRPr="0047422E" w:rsidRDefault="0005477D" w:rsidP="0005477D">
            <w:pPr>
              <w:jc w:val="center"/>
              <w:rPr>
                <w:sz w:val="20"/>
                <w:szCs w:val="20"/>
                <w:lang w:val="en-CA"/>
              </w:rPr>
            </w:pPr>
            <w:r w:rsidRPr="0047422E">
              <w:rPr>
                <w:sz w:val="20"/>
                <w:szCs w:val="20"/>
                <w:lang w:val="en-CA"/>
              </w:rPr>
              <w:t>&lt; 10</w:t>
            </w:r>
            <w:r w:rsidRPr="0047422E">
              <w:rPr>
                <w:sz w:val="20"/>
                <w:szCs w:val="20"/>
                <w:vertAlign w:val="superscript"/>
                <w:lang w:val="en-CA"/>
              </w:rPr>
              <w:t>-15</w:t>
            </w:r>
            <w:r w:rsidRPr="0047422E">
              <w:rPr>
                <w:sz w:val="20"/>
                <w:szCs w:val="20"/>
                <w:lang w:val="en-CA"/>
              </w:rPr>
              <w:t xml:space="preserve"> *</w:t>
            </w:r>
          </w:p>
        </w:tc>
        <w:tc>
          <w:tcPr>
            <w:tcW w:w="1276" w:type="dxa"/>
            <w:vAlign w:val="center"/>
          </w:tcPr>
          <w:p w14:paraId="4A1B03FC" w14:textId="542F8BDA"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0.8788</w:t>
            </w:r>
          </w:p>
        </w:tc>
        <w:tc>
          <w:tcPr>
            <w:tcW w:w="1417" w:type="dxa"/>
            <w:vAlign w:val="center"/>
          </w:tcPr>
          <w:p w14:paraId="7FED7E39" w14:textId="2135BD0B"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&lt; 10</w:t>
            </w:r>
            <w:r w:rsidRPr="0047422E">
              <w:rPr>
                <w:rFonts w:ascii="Times New Roman" w:hAnsi="Times New Roman" w:cs="Times New Roman"/>
                <w:color w:val="000000"/>
                <w:vertAlign w:val="superscript"/>
              </w:rPr>
              <w:t>-7</w:t>
            </w:r>
            <w:r w:rsidRPr="0047422E">
              <w:rPr>
                <w:rFonts w:ascii="Times New Roman" w:hAnsi="Times New Roman" w:cs="Times New Roman"/>
                <w:color w:val="000000"/>
              </w:rPr>
              <w:t>*</w:t>
            </w:r>
          </w:p>
        </w:tc>
      </w:tr>
      <w:tr w:rsidR="00ED76BD" w:rsidRPr="0047422E" w14:paraId="5DABCDB2" w14:textId="55104153" w:rsidTr="00ED76BD">
        <w:trPr>
          <w:trHeight w:val="538"/>
        </w:trPr>
        <w:tc>
          <w:tcPr>
            <w:tcW w:w="1696" w:type="dxa"/>
            <w:vAlign w:val="center"/>
          </w:tcPr>
          <w:p w14:paraId="3989294F" w14:textId="17394B16" w:rsidR="0005477D" w:rsidRPr="0047422E" w:rsidRDefault="0005477D" w:rsidP="0005477D">
            <w:pPr>
              <w:jc w:val="center"/>
              <w:rPr>
                <w:sz w:val="20"/>
                <w:szCs w:val="20"/>
                <w:lang w:val="en-CA"/>
              </w:rPr>
            </w:pPr>
            <w:r w:rsidRPr="0047422E">
              <w:rPr>
                <w:sz w:val="20"/>
                <w:szCs w:val="20"/>
                <w:lang w:val="en-CA"/>
              </w:rPr>
              <w:t>W</w:t>
            </w:r>
          </w:p>
        </w:tc>
        <w:tc>
          <w:tcPr>
            <w:tcW w:w="1276" w:type="dxa"/>
            <w:vAlign w:val="center"/>
          </w:tcPr>
          <w:p w14:paraId="5E029157" w14:textId="6AF23AA2"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3232030</w:t>
            </w:r>
          </w:p>
        </w:tc>
        <w:tc>
          <w:tcPr>
            <w:tcW w:w="1276" w:type="dxa"/>
            <w:vAlign w:val="center"/>
          </w:tcPr>
          <w:p w14:paraId="238EA80D" w14:textId="12A3F922" w:rsidR="0005477D" w:rsidRPr="0047422E" w:rsidRDefault="0005477D" w:rsidP="0005477D">
            <w:pPr>
              <w:pStyle w:val="HTMLPreformatted"/>
              <w:shd w:val="clear" w:color="auto" w:fill="FFFFFF"/>
              <w:jc w:val="center"/>
              <w:rPr>
                <w:rFonts w:ascii="Times New Roman" w:hAnsi="Times New Roman" w:cs="Times New Roman"/>
                <w:color w:val="000000"/>
                <w:u w:val="single"/>
              </w:rPr>
            </w:pPr>
            <w:r w:rsidRPr="0047422E">
              <w:rPr>
                <w:rFonts w:ascii="Times New Roman" w:hAnsi="Times New Roman" w:cs="Times New Roman"/>
                <w:color w:val="000000"/>
              </w:rPr>
              <w:t>3014764</w:t>
            </w:r>
          </w:p>
        </w:tc>
        <w:tc>
          <w:tcPr>
            <w:tcW w:w="1276" w:type="dxa"/>
            <w:vAlign w:val="center"/>
          </w:tcPr>
          <w:p w14:paraId="32D1AE59" w14:textId="50B7525B"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8965063</w:t>
            </w:r>
          </w:p>
        </w:tc>
        <w:tc>
          <w:tcPr>
            <w:tcW w:w="1417" w:type="dxa"/>
            <w:vAlign w:val="center"/>
          </w:tcPr>
          <w:p w14:paraId="311A6BF1" w14:textId="2AA308DB"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7256040</w:t>
            </w:r>
          </w:p>
        </w:tc>
        <w:tc>
          <w:tcPr>
            <w:tcW w:w="1276" w:type="dxa"/>
            <w:vAlign w:val="center"/>
          </w:tcPr>
          <w:p w14:paraId="5AC387F5" w14:textId="1EB815AF"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23014214</w:t>
            </w:r>
          </w:p>
        </w:tc>
        <w:tc>
          <w:tcPr>
            <w:tcW w:w="1417" w:type="dxa"/>
            <w:vAlign w:val="center"/>
          </w:tcPr>
          <w:p w14:paraId="6BA6E74A" w14:textId="2C5BA715"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19526166</w:t>
            </w:r>
          </w:p>
        </w:tc>
      </w:tr>
      <w:tr w:rsidR="00ED76BD" w:rsidRPr="0047422E" w14:paraId="61FBE2D1" w14:textId="7D03EF6D" w:rsidTr="00ED76BD">
        <w:trPr>
          <w:trHeight w:val="538"/>
        </w:trPr>
        <w:tc>
          <w:tcPr>
            <w:tcW w:w="1696" w:type="dxa"/>
            <w:vAlign w:val="center"/>
          </w:tcPr>
          <w:p w14:paraId="3C592618" w14:textId="2382F6D4" w:rsidR="0005477D" w:rsidRPr="0047422E" w:rsidRDefault="0005477D" w:rsidP="0005477D">
            <w:pPr>
              <w:jc w:val="center"/>
              <w:rPr>
                <w:sz w:val="20"/>
                <w:szCs w:val="20"/>
                <w:lang w:val="en-CA"/>
              </w:rPr>
            </w:pPr>
            <w:r w:rsidRPr="0047422E">
              <w:rPr>
                <w:sz w:val="20"/>
                <w:szCs w:val="20"/>
                <w:lang w:val="en-CA"/>
              </w:rPr>
              <w:t>p-value</w:t>
            </w:r>
          </w:p>
        </w:tc>
        <w:tc>
          <w:tcPr>
            <w:tcW w:w="1276" w:type="dxa"/>
            <w:vAlign w:val="center"/>
          </w:tcPr>
          <w:p w14:paraId="43174487" w14:textId="69C0571A"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0.3691</w:t>
            </w:r>
          </w:p>
        </w:tc>
        <w:tc>
          <w:tcPr>
            <w:tcW w:w="1276" w:type="dxa"/>
            <w:vAlign w:val="center"/>
          </w:tcPr>
          <w:p w14:paraId="6EACD8C4" w14:textId="732DD7F1" w:rsidR="0005477D" w:rsidRPr="0047422E" w:rsidRDefault="0005477D" w:rsidP="0005477D">
            <w:pPr>
              <w:pStyle w:val="HTMLPreformatted"/>
              <w:shd w:val="clear" w:color="auto" w:fill="FFFFFF"/>
              <w:jc w:val="center"/>
              <w:rPr>
                <w:rFonts w:ascii="Times New Roman" w:hAnsi="Times New Roman" w:cs="Times New Roman"/>
                <w:color w:val="000000"/>
                <w:lang w:val="vi-VN"/>
              </w:rPr>
            </w:pPr>
            <w:r w:rsidRPr="0047422E">
              <w:rPr>
                <w:rFonts w:ascii="Times New Roman" w:hAnsi="Times New Roman" w:cs="Times New Roman"/>
                <w:color w:val="000000"/>
              </w:rPr>
              <w:t>0.004072*</w:t>
            </w:r>
          </w:p>
        </w:tc>
        <w:tc>
          <w:tcPr>
            <w:tcW w:w="1276" w:type="dxa"/>
            <w:vAlign w:val="center"/>
          </w:tcPr>
          <w:p w14:paraId="7804BC5A" w14:textId="5AF84F74"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0.4452</w:t>
            </w:r>
          </w:p>
        </w:tc>
        <w:tc>
          <w:tcPr>
            <w:tcW w:w="1417" w:type="dxa"/>
            <w:vAlign w:val="center"/>
          </w:tcPr>
          <w:p w14:paraId="68BAD14A" w14:textId="6E044165" w:rsidR="0005477D" w:rsidRPr="0047422E" w:rsidRDefault="0005477D" w:rsidP="0005477D">
            <w:pPr>
              <w:jc w:val="center"/>
              <w:rPr>
                <w:sz w:val="20"/>
                <w:szCs w:val="20"/>
                <w:lang w:val="en-CA"/>
              </w:rPr>
            </w:pPr>
            <w:r w:rsidRPr="0047422E">
              <w:rPr>
                <w:sz w:val="20"/>
                <w:szCs w:val="20"/>
                <w:lang w:val="en-CA"/>
              </w:rPr>
              <w:t>&lt; 10</w:t>
            </w:r>
            <w:r w:rsidRPr="0047422E">
              <w:rPr>
                <w:sz w:val="20"/>
                <w:szCs w:val="20"/>
                <w:vertAlign w:val="superscript"/>
                <w:lang w:val="en-CA"/>
              </w:rPr>
              <w:t>-15</w:t>
            </w:r>
            <w:r w:rsidRPr="0047422E">
              <w:rPr>
                <w:sz w:val="20"/>
                <w:szCs w:val="20"/>
                <w:lang w:val="en-CA"/>
              </w:rPr>
              <w:t>*</w:t>
            </w:r>
          </w:p>
        </w:tc>
        <w:tc>
          <w:tcPr>
            <w:tcW w:w="1276" w:type="dxa"/>
            <w:vAlign w:val="center"/>
          </w:tcPr>
          <w:p w14:paraId="31B27D21" w14:textId="0CC6776D" w:rsidR="0005477D" w:rsidRPr="0047422E" w:rsidRDefault="0005477D" w:rsidP="0005477D">
            <w:pPr>
              <w:pStyle w:val="HTMLPreformatted"/>
              <w:shd w:val="clear" w:color="auto" w:fill="FFFFFF"/>
              <w:jc w:val="center"/>
              <w:rPr>
                <w:rFonts w:ascii="Times New Roman" w:hAnsi="Times New Roman" w:cs="Times New Roman"/>
                <w:color w:val="000000"/>
              </w:rPr>
            </w:pPr>
            <w:r w:rsidRPr="0047422E">
              <w:rPr>
                <w:rFonts w:ascii="Times New Roman" w:hAnsi="Times New Roman" w:cs="Times New Roman"/>
                <w:color w:val="000000"/>
              </w:rPr>
              <w:t>0.9523</w:t>
            </w:r>
          </w:p>
        </w:tc>
        <w:tc>
          <w:tcPr>
            <w:tcW w:w="1417" w:type="dxa"/>
            <w:vAlign w:val="center"/>
          </w:tcPr>
          <w:p w14:paraId="1B051805" w14:textId="5EBCC391" w:rsidR="0005477D" w:rsidRPr="0047422E" w:rsidRDefault="0005477D" w:rsidP="0005477D">
            <w:pPr>
              <w:jc w:val="center"/>
              <w:rPr>
                <w:sz w:val="20"/>
                <w:szCs w:val="20"/>
                <w:lang w:val="en-CA"/>
              </w:rPr>
            </w:pPr>
            <w:r w:rsidRPr="0047422E">
              <w:rPr>
                <w:sz w:val="20"/>
                <w:szCs w:val="20"/>
                <w:lang w:val="en-CA"/>
              </w:rPr>
              <w:t>&lt; 10</w:t>
            </w:r>
            <w:r w:rsidRPr="0047422E">
              <w:rPr>
                <w:sz w:val="20"/>
                <w:szCs w:val="20"/>
                <w:vertAlign w:val="superscript"/>
                <w:lang w:val="en-CA"/>
              </w:rPr>
              <w:t>-15</w:t>
            </w:r>
            <w:r w:rsidRPr="0047422E">
              <w:rPr>
                <w:sz w:val="20"/>
                <w:szCs w:val="20"/>
                <w:lang w:val="en-CA"/>
              </w:rPr>
              <w:t xml:space="preserve"> *</w:t>
            </w:r>
          </w:p>
        </w:tc>
      </w:tr>
    </w:tbl>
    <w:p w14:paraId="371DAD36" w14:textId="77777777" w:rsidR="00C207C6" w:rsidRDefault="00C207C6" w:rsidP="008B5272">
      <w:pPr>
        <w:spacing w:after="240" w:line="276" w:lineRule="auto"/>
        <w:rPr>
          <w:lang w:val="en-CA"/>
        </w:rPr>
      </w:pPr>
    </w:p>
    <w:p w14:paraId="70CAE013" w14:textId="68B140A2" w:rsidR="004619AC" w:rsidRDefault="004619AC" w:rsidP="008B5272">
      <w:pPr>
        <w:spacing w:after="240" w:line="276" w:lineRule="auto"/>
        <w:rPr>
          <w:lang w:val="en-CA"/>
        </w:rPr>
      </w:pPr>
      <w:r w:rsidRPr="008B5272">
        <w:rPr>
          <w:b/>
          <w:bCs/>
          <w:lang w:val="en-CA"/>
        </w:rPr>
        <w:t>Interpretation</w:t>
      </w:r>
    </w:p>
    <w:p w14:paraId="403D5C71" w14:textId="0C435DD2" w:rsidR="008B5272" w:rsidRDefault="00814483" w:rsidP="008B5272">
      <w:pPr>
        <w:spacing w:after="240" w:line="276" w:lineRule="auto"/>
        <w:rPr>
          <w:lang w:val="en-CA"/>
        </w:rPr>
      </w:pPr>
      <w:r>
        <w:rPr>
          <w:lang w:val="en-CA"/>
        </w:rPr>
        <w:tab/>
        <w:t>In consistence with Goodwin et al.</w:t>
      </w:r>
      <w:r w:rsidR="00681421">
        <w:rPr>
          <w:lang w:val="en-CA"/>
        </w:rPr>
        <w:t>’</w:t>
      </w:r>
      <w:r>
        <w:rPr>
          <w:lang w:val="en-CA"/>
        </w:rPr>
        <w:t xml:space="preserve">s (1969), Burstyn’s (2010) and Al-Hindi et al.’s (2020) findings, women with </w:t>
      </w:r>
      <w:r w:rsidR="00F62242">
        <w:rPr>
          <w:lang w:val="en-CA"/>
        </w:rPr>
        <w:t>lower</w:t>
      </w:r>
      <w:r w:rsidR="00F62242">
        <w:rPr>
          <w:lang w:val="vi-VN"/>
        </w:rPr>
        <w:t xml:space="preserve"> </w:t>
      </w:r>
      <w:r>
        <w:rPr>
          <w:lang w:val="en-CA"/>
        </w:rPr>
        <w:t>antenatal risk scores were more likely to</w:t>
      </w:r>
      <w:r w:rsidR="00F62242">
        <w:rPr>
          <w:lang w:val="en-CA"/>
        </w:rPr>
        <w:t xml:space="preserve"> have less severe maternal outcomes </w:t>
      </w:r>
      <w:r>
        <w:rPr>
          <w:lang w:val="en-CA"/>
        </w:rPr>
        <w:t xml:space="preserve">than those </w:t>
      </w:r>
      <w:r w:rsidR="001A595B">
        <w:rPr>
          <w:lang w:val="en-CA"/>
        </w:rPr>
        <w:t>of</w:t>
      </w:r>
      <w:r w:rsidR="00F62242">
        <w:rPr>
          <w:lang w:val="en-CA"/>
        </w:rPr>
        <w:t xml:space="preserve"> higher</w:t>
      </w:r>
      <w:r>
        <w:rPr>
          <w:lang w:val="en-CA"/>
        </w:rPr>
        <w:t xml:space="preserve"> risk. Although the mean outcome scores of both low-and high-risk groups were close to the minimum value of 1, suggesting that the majority of both groups </w:t>
      </w:r>
      <w:r w:rsidR="00F62242">
        <w:rPr>
          <w:lang w:val="en-CA"/>
        </w:rPr>
        <w:t>were discharged to home without additional medical support</w:t>
      </w:r>
      <w:r>
        <w:rPr>
          <w:lang w:val="en-CA"/>
        </w:rPr>
        <w:t>, the outcome scores of the low-risk group were slightly better than those of the high-risk group.</w:t>
      </w:r>
      <w:r w:rsidR="00FF41BB">
        <w:rPr>
          <w:lang w:val="en-CA"/>
        </w:rPr>
        <w:t xml:space="preserve"> Additionally, </w:t>
      </w:r>
      <w:r w:rsidR="00F62242">
        <w:rPr>
          <w:lang w:val="en-CA"/>
        </w:rPr>
        <w:t>on average the low-risk group were discharged one day sooner than their counterpart.</w:t>
      </w:r>
    </w:p>
    <w:p w14:paraId="309D2589" w14:textId="2A0FD8EF" w:rsidR="0047422E" w:rsidRDefault="00DA18F8" w:rsidP="008B5272">
      <w:pPr>
        <w:spacing w:after="240" w:line="276" w:lineRule="auto"/>
        <w:rPr>
          <w:lang w:val="en-CA"/>
        </w:rPr>
      </w:pPr>
      <w:r>
        <w:rPr>
          <w:lang w:val="en-CA"/>
        </w:rPr>
        <w:tab/>
      </w:r>
      <w:r w:rsidR="00B3495C">
        <w:rPr>
          <w:lang w:val="en-CA"/>
        </w:rPr>
        <w:t xml:space="preserve">In general, the maternal outcomes of women who had received labour induction prior to admission did not differ from those of women who had not been labour induced. </w:t>
      </w:r>
      <w:r w:rsidR="00723A3B">
        <w:rPr>
          <w:lang w:val="en-CA"/>
        </w:rPr>
        <w:t xml:space="preserve">Most of women from either group were discharged to their homes without support. The total length of stay of the labour induced women, however, were slightly longer than that of women who had not received the intervention. </w:t>
      </w:r>
      <w:r w:rsidR="00AA662C">
        <w:rPr>
          <w:lang w:val="en-CA"/>
        </w:rPr>
        <w:t>The</w:t>
      </w:r>
      <w:r w:rsidR="00723A3B">
        <w:rPr>
          <w:lang w:val="en-CA"/>
        </w:rPr>
        <w:t xml:space="preserve"> similar </w:t>
      </w:r>
      <w:r w:rsidR="00AA662C">
        <w:rPr>
          <w:lang w:val="en-CA"/>
        </w:rPr>
        <w:t xml:space="preserve">pattern of </w:t>
      </w:r>
      <w:r w:rsidR="00723A3B">
        <w:rPr>
          <w:lang w:val="en-CA"/>
        </w:rPr>
        <w:t>result</w:t>
      </w:r>
      <w:r w:rsidR="00AA662C">
        <w:rPr>
          <w:lang w:val="en-CA"/>
        </w:rPr>
        <w:t>s</w:t>
      </w:r>
      <w:r w:rsidR="00723A3B">
        <w:rPr>
          <w:lang w:val="en-CA"/>
        </w:rPr>
        <w:t xml:space="preserve"> was also found in </w:t>
      </w:r>
      <w:r w:rsidR="00AA662C">
        <w:rPr>
          <w:lang w:val="en-CA"/>
        </w:rPr>
        <w:t xml:space="preserve">women of the low-risk score group. These small differences </w:t>
      </w:r>
      <w:r w:rsidR="004A469B">
        <w:rPr>
          <w:lang w:val="en-CA"/>
        </w:rPr>
        <w:t xml:space="preserve">(less than 0.25 day) </w:t>
      </w:r>
      <w:r w:rsidR="00AA662C">
        <w:rPr>
          <w:lang w:val="en-CA"/>
        </w:rPr>
        <w:t xml:space="preserve">in the length of stay between labour induced and non-induced groups </w:t>
      </w:r>
      <w:r w:rsidR="004A469B">
        <w:rPr>
          <w:lang w:val="en-CA"/>
        </w:rPr>
        <w:t xml:space="preserve">might be due to </w:t>
      </w:r>
      <w:r w:rsidR="008768AE">
        <w:rPr>
          <w:lang w:val="en-CA"/>
        </w:rPr>
        <w:t>the</w:t>
      </w:r>
      <w:r w:rsidR="008768AE">
        <w:rPr>
          <w:lang w:val="vi-VN"/>
        </w:rPr>
        <w:t xml:space="preserve"> </w:t>
      </w:r>
      <w:r w:rsidR="008768AE">
        <w:rPr>
          <w:lang w:val="en-CA"/>
        </w:rPr>
        <w:t>ex</w:t>
      </w:r>
      <w:r w:rsidR="008768AE">
        <w:rPr>
          <w:lang w:val="vi-VN"/>
        </w:rPr>
        <w:t xml:space="preserve">tra </w:t>
      </w:r>
      <w:r w:rsidR="004A469B">
        <w:rPr>
          <w:lang w:val="en-CA"/>
        </w:rPr>
        <w:t xml:space="preserve">administrative and health monitoring </w:t>
      </w:r>
      <w:r w:rsidR="008D2993">
        <w:rPr>
          <w:lang w:val="en-CA"/>
        </w:rPr>
        <w:t xml:space="preserve">process associated with the </w:t>
      </w:r>
      <w:r w:rsidR="00A44ACF">
        <w:rPr>
          <w:lang w:val="en-CA"/>
        </w:rPr>
        <w:t xml:space="preserve">induction </w:t>
      </w:r>
      <w:r w:rsidR="004A469B">
        <w:rPr>
          <w:lang w:val="en-CA"/>
        </w:rPr>
        <w:t>procedure.</w:t>
      </w:r>
      <w:r w:rsidR="00A47FEC">
        <w:rPr>
          <w:lang w:val="en-CA"/>
        </w:rPr>
        <w:t xml:space="preserve"> </w:t>
      </w:r>
      <w:r w:rsidR="00954D1F">
        <w:rPr>
          <w:lang w:val="en-CA"/>
        </w:rPr>
        <w:t>Women in the high</w:t>
      </w:r>
      <w:r w:rsidR="00A47FEC">
        <w:rPr>
          <w:lang w:val="en-CA"/>
        </w:rPr>
        <w:t>-</w:t>
      </w:r>
      <w:r w:rsidR="00954D1F">
        <w:rPr>
          <w:lang w:val="en-CA"/>
        </w:rPr>
        <w:t xml:space="preserve">risk group, on the other hand, </w:t>
      </w:r>
      <w:r w:rsidR="00A47FEC">
        <w:rPr>
          <w:lang w:val="en-CA"/>
        </w:rPr>
        <w:t xml:space="preserve">seemed to stay slightly longer in the hospital when they had not received the labour induction intervention than if they had. These are also consistent with previous literature where </w:t>
      </w:r>
      <w:proofErr w:type="spellStart"/>
      <w:r w:rsidR="00A47FEC" w:rsidRPr="002E0D3F">
        <w:rPr>
          <w:lang w:val="en-CA"/>
        </w:rPr>
        <w:t>Seijmonsbergen-Schermers</w:t>
      </w:r>
      <w:proofErr w:type="spellEnd"/>
      <w:r w:rsidR="00A47FEC">
        <w:rPr>
          <w:lang w:val="en-CA"/>
        </w:rPr>
        <w:t xml:space="preserve"> et al. (2019) have found that unnecessary induced labour can increase cost in time, but if the intervention was performed for expectant mothers who are at high risk of health problems and mortality it can help to alleviate the severity of clinical complications</w:t>
      </w:r>
      <w:r w:rsidR="0047422E">
        <w:rPr>
          <w:lang w:val="en-CA"/>
        </w:rPr>
        <w:t>,</w:t>
      </w:r>
      <w:r w:rsidR="001E1B43">
        <w:rPr>
          <w:lang w:val="en-CA"/>
        </w:rPr>
        <w:t xml:space="preserve"> which </w:t>
      </w:r>
      <w:r w:rsidR="00E6031D">
        <w:rPr>
          <w:lang w:val="en-CA"/>
        </w:rPr>
        <w:t>could be</w:t>
      </w:r>
      <w:r w:rsidR="0047422E">
        <w:rPr>
          <w:lang w:val="en-CA"/>
        </w:rPr>
        <w:t xml:space="preserve"> </w:t>
      </w:r>
      <w:r w:rsidR="00A47FEC">
        <w:rPr>
          <w:lang w:val="en-CA"/>
        </w:rPr>
        <w:t xml:space="preserve">reflected by </w:t>
      </w:r>
      <w:r w:rsidR="0047422E">
        <w:rPr>
          <w:lang w:val="en-CA"/>
        </w:rPr>
        <w:t>a decrease of</w:t>
      </w:r>
      <w:r w:rsidR="00A47FEC">
        <w:rPr>
          <w:lang w:val="en-CA"/>
        </w:rPr>
        <w:t xml:space="preserve"> total days in bed</w:t>
      </w:r>
      <w:r w:rsidR="001E1B43">
        <w:rPr>
          <w:lang w:val="en-CA"/>
        </w:rPr>
        <w:t xml:space="preserve"> in this project</w:t>
      </w:r>
      <w:r w:rsidR="00A47FEC">
        <w:rPr>
          <w:lang w:val="en-CA"/>
        </w:rPr>
        <w:t>.</w:t>
      </w:r>
      <w:r w:rsidR="0047422E">
        <w:rPr>
          <w:lang w:val="en-CA"/>
        </w:rPr>
        <w:br/>
      </w:r>
    </w:p>
    <w:p w14:paraId="640801D3" w14:textId="74B0759E" w:rsidR="0047422E" w:rsidRPr="0047422E" w:rsidRDefault="004619AC" w:rsidP="008B5272">
      <w:pPr>
        <w:spacing w:after="240" w:line="276" w:lineRule="auto"/>
        <w:rPr>
          <w:lang w:val="en-CA"/>
        </w:rPr>
      </w:pPr>
      <w:r w:rsidRPr="00FF41BB">
        <w:rPr>
          <w:b/>
          <w:bCs/>
          <w:lang w:val="en-CA"/>
        </w:rPr>
        <w:lastRenderedPageBreak/>
        <w:t>Limitations</w:t>
      </w:r>
    </w:p>
    <w:p w14:paraId="21C87CA2" w14:textId="7108A40A" w:rsidR="00CD7CC1" w:rsidRDefault="00603FC3" w:rsidP="00466E71">
      <w:pPr>
        <w:spacing w:after="240" w:line="276" w:lineRule="auto"/>
        <w:ind w:firstLine="720"/>
        <w:rPr>
          <w:lang w:val="en-CA"/>
        </w:rPr>
      </w:pPr>
      <w:r>
        <w:rPr>
          <w:lang w:val="en-CA"/>
        </w:rPr>
        <w:t xml:space="preserve">Using patient’s length of stay in hospital and discharge place/status can be convenient to provide some insights into how labour induction can alter the relationship between antenatal risk and birth complication/mortality. However, these variables may not sufficiently measure </w:t>
      </w:r>
      <w:r w:rsidR="009F2871">
        <w:rPr>
          <w:lang w:val="en-CA"/>
        </w:rPr>
        <w:t xml:space="preserve">maternal and neonatal </w:t>
      </w:r>
      <w:r>
        <w:rPr>
          <w:lang w:val="en-CA"/>
        </w:rPr>
        <w:t>outcomes</w:t>
      </w:r>
      <w:r w:rsidR="0008308E">
        <w:rPr>
          <w:lang w:val="en-CA"/>
        </w:rPr>
        <w:t>. P</w:t>
      </w:r>
      <w:r w:rsidR="009F2871">
        <w:rPr>
          <w:lang w:val="en-CA"/>
        </w:rPr>
        <w:t xml:space="preserve">otential confounding factors such as hospital wait-time, </w:t>
      </w:r>
      <w:r w:rsidR="0008308E">
        <w:rPr>
          <w:lang w:val="en-CA"/>
        </w:rPr>
        <w:t xml:space="preserve">procedure time, and even </w:t>
      </w:r>
      <w:r w:rsidR="00266B61">
        <w:rPr>
          <w:lang w:val="en-CA"/>
        </w:rPr>
        <w:t xml:space="preserve">birth </w:t>
      </w:r>
      <w:r w:rsidR="0008308E">
        <w:rPr>
          <w:lang w:val="en-CA"/>
        </w:rPr>
        <w:t>delivery time</w:t>
      </w:r>
      <w:r w:rsidR="00CD7CC1">
        <w:rPr>
          <w:lang w:val="en-CA"/>
        </w:rPr>
        <w:t xml:space="preserve"> </w:t>
      </w:r>
      <w:r w:rsidR="0008308E">
        <w:rPr>
          <w:lang w:val="en-CA"/>
        </w:rPr>
        <w:t>can also contribute to the change in the total length of stay.</w:t>
      </w:r>
      <w:r w:rsidR="00CD7CC1">
        <w:rPr>
          <w:lang w:val="en-CA"/>
        </w:rPr>
        <w:t xml:space="preserve"> Therefore, other variables such as </w:t>
      </w:r>
      <w:proofErr w:type="spellStart"/>
      <w:proofErr w:type="gramStart"/>
      <w:r w:rsidR="00266B61">
        <w:rPr>
          <w:lang w:val="en-CA"/>
        </w:rPr>
        <w:t>a</w:t>
      </w:r>
      <w:proofErr w:type="spellEnd"/>
      <w:proofErr w:type="gramEnd"/>
      <w:r w:rsidR="00CD7CC1">
        <w:rPr>
          <w:lang w:val="en-CA"/>
        </w:rPr>
        <w:t xml:space="preserve"> expectant mother’s detailed diagnosis, health record, and number of </w:t>
      </w:r>
      <w:r w:rsidR="00466E71">
        <w:rPr>
          <w:lang w:val="en-CA"/>
        </w:rPr>
        <w:t xml:space="preserve">professional </w:t>
      </w:r>
      <w:r w:rsidR="00CD7CC1">
        <w:rPr>
          <w:lang w:val="en-CA"/>
        </w:rPr>
        <w:t>care</w:t>
      </w:r>
      <w:r w:rsidR="00466E71">
        <w:rPr>
          <w:lang w:val="en-CA"/>
        </w:rPr>
        <w:t>giver</w:t>
      </w:r>
      <w:r w:rsidR="00CD7CC1">
        <w:rPr>
          <w:lang w:val="en-CA"/>
        </w:rPr>
        <w:t xml:space="preserve">s who were responsible for her </w:t>
      </w:r>
      <w:r w:rsidR="00466E71">
        <w:rPr>
          <w:lang w:val="en-CA"/>
        </w:rPr>
        <w:t>health</w:t>
      </w:r>
      <w:r w:rsidR="00CD7CC1">
        <w:rPr>
          <w:lang w:val="en-CA"/>
        </w:rPr>
        <w:t xml:space="preserve"> should be analyzed to better assess her postpartum outcome.</w:t>
      </w:r>
    </w:p>
    <w:p w14:paraId="5620F21A" w14:textId="00609DE8" w:rsidR="00466E71" w:rsidRDefault="00466E71" w:rsidP="00466E71">
      <w:pPr>
        <w:spacing w:after="240" w:line="276" w:lineRule="auto"/>
        <w:ind w:firstLine="720"/>
        <w:rPr>
          <w:lang w:val="en-CA"/>
        </w:rPr>
      </w:pPr>
      <w:r>
        <w:rPr>
          <w:lang w:val="en-CA"/>
        </w:rPr>
        <w:t>Another limitation comes from the analysis method of this project. Due to the scope and time constraint of the assignment, only descriptive statistics and simple t-tests</w:t>
      </w:r>
      <w:r w:rsidR="00810E6C">
        <w:rPr>
          <w:lang w:val="en-CA"/>
        </w:rPr>
        <w:t>/</w:t>
      </w:r>
      <w:r w:rsidR="00810E6C" w:rsidRPr="00611BFC">
        <w:rPr>
          <w:lang w:val="en-CA"/>
        </w:rPr>
        <w:t>Wilcoxon rank sum test</w:t>
      </w:r>
      <w:r w:rsidR="00810E6C">
        <w:rPr>
          <w:lang w:val="en-CA"/>
        </w:rPr>
        <w:t>s</w:t>
      </w:r>
      <w:r>
        <w:rPr>
          <w:lang w:val="en-CA"/>
        </w:rPr>
        <w:t xml:space="preserve"> were used to examine the data. </w:t>
      </w:r>
      <w:r w:rsidR="00E6238D">
        <w:rPr>
          <w:lang w:val="en-CA"/>
        </w:rPr>
        <w:t>This</w:t>
      </w:r>
      <w:r>
        <w:rPr>
          <w:lang w:val="en-CA"/>
        </w:rPr>
        <w:t xml:space="preserve"> might reduce the ability to optimally tackle and deprive information from this </w:t>
      </w:r>
      <w:r w:rsidR="00E6238D">
        <w:rPr>
          <w:lang w:val="en-CA"/>
        </w:rPr>
        <w:t xml:space="preserve">multidimensional </w:t>
      </w:r>
      <w:r>
        <w:rPr>
          <w:lang w:val="en-CA"/>
        </w:rPr>
        <w:t>data set, as t-test</w:t>
      </w:r>
      <w:r w:rsidR="00E6238D">
        <w:rPr>
          <w:lang w:val="en-CA"/>
        </w:rPr>
        <w:t xml:space="preserve"> or </w:t>
      </w:r>
      <w:r w:rsidR="00810E6C" w:rsidRPr="00611BFC">
        <w:rPr>
          <w:lang w:val="en-CA"/>
        </w:rPr>
        <w:t>Wilcoxon rank sum test</w:t>
      </w:r>
      <w:r>
        <w:rPr>
          <w:lang w:val="en-CA"/>
        </w:rPr>
        <w:t xml:space="preserve"> only allows a simple comparison of two group means at a time. </w:t>
      </w:r>
      <w:r w:rsidR="00985D38">
        <w:rPr>
          <w:lang w:val="en-CA"/>
        </w:rPr>
        <w:t>Hence, f</w:t>
      </w:r>
      <w:r>
        <w:rPr>
          <w:lang w:val="en-CA"/>
        </w:rPr>
        <w:t xml:space="preserve">uture analysis built upon this project should employ more advanced analysis techniques </w:t>
      </w:r>
      <w:r w:rsidR="00985D38">
        <w:rPr>
          <w:lang w:val="en-CA"/>
        </w:rPr>
        <w:t>to</w:t>
      </w:r>
      <w:r>
        <w:rPr>
          <w:lang w:val="en-CA"/>
        </w:rPr>
        <w:t xml:space="preserve"> better address </w:t>
      </w:r>
      <w:r w:rsidR="00985D38">
        <w:rPr>
          <w:lang w:val="en-CA"/>
        </w:rPr>
        <w:t>the proposal research questions</w:t>
      </w:r>
      <w:r>
        <w:rPr>
          <w:lang w:val="en-CA"/>
        </w:rPr>
        <w:t>.</w:t>
      </w:r>
    </w:p>
    <w:p w14:paraId="609FFBF9" w14:textId="77777777" w:rsidR="00CD7CC1" w:rsidRDefault="00CD7CC1" w:rsidP="008B5272">
      <w:pPr>
        <w:spacing w:after="240" w:line="276" w:lineRule="auto"/>
        <w:rPr>
          <w:lang w:val="en-CA"/>
        </w:rPr>
      </w:pPr>
    </w:p>
    <w:p w14:paraId="050CC638" w14:textId="77777777" w:rsidR="00466E71" w:rsidRDefault="00466E71">
      <w:pPr>
        <w:rPr>
          <w:b/>
          <w:bCs/>
          <w:lang w:val="en-CA"/>
        </w:rPr>
      </w:pPr>
      <w:r>
        <w:rPr>
          <w:b/>
          <w:bCs/>
          <w:lang w:val="en-CA"/>
        </w:rPr>
        <w:br w:type="page"/>
      </w:r>
    </w:p>
    <w:p w14:paraId="549B2659" w14:textId="70FF1670" w:rsidR="0076610A" w:rsidRPr="004A721D" w:rsidRDefault="0076610A" w:rsidP="00704560">
      <w:pPr>
        <w:spacing w:after="240" w:line="276" w:lineRule="auto"/>
        <w:rPr>
          <w:b/>
          <w:bCs/>
          <w:lang w:val="en-CA"/>
        </w:rPr>
      </w:pPr>
      <w:r w:rsidRPr="004A721D">
        <w:rPr>
          <w:b/>
          <w:bCs/>
          <w:lang w:val="en-CA"/>
        </w:rPr>
        <w:lastRenderedPageBreak/>
        <w:t>Reference</w:t>
      </w:r>
    </w:p>
    <w:p w14:paraId="309F164E" w14:textId="29B42DF2" w:rsidR="00DD1DEF" w:rsidRDefault="00DD1DEF" w:rsidP="00704560">
      <w:pPr>
        <w:spacing w:after="240" w:line="276" w:lineRule="auto"/>
        <w:rPr>
          <w:lang w:val="en-CA"/>
        </w:rPr>
      </w:pPr>
      <w:r>
        <w:rPr>
          <w:lang w:val="en-CA"/>
        </w:rPr>
        <w:t>Alberta Health Service</w:t>
      </w:r>
      <w:r w:rsidR="00967AE4">
        <w:rPr>
          <w:lang w:val="en-CA"/>
        </w:rPr>
        <w:t xml:space="preserve"> (2021)</w:t>
      </w:r>
      <w:r>
        <w:rPr>
          <w:lang w:val="en-CA"/>
        </w:rPr>
        <w:t xml:space="preserve"> </w:t>
      </w:r>
      <w:r w:rsidRPr="00DD1DEF">
        <w:rPr>
          <w:i/>
          <w:iCs/>
          <w:lang w:val="en-CA"/>
        </w:rPr>
        <w:t>Labour Induction and Augmentation</w:t>
      </w:r>
      <w:r>
        <w:rPr>
          <w:lang w:val="en-CA"/>
        </w:rPr>
        <w:t xml:space="preserve"> [Online]. Available at: </w:t>
      </w:r>
      <w:hyperlink r:id="rId4" w:history="1">
        <w:r w:rsidRPr="006F0886">
          <w:rPr>
            <w:rStyle w:val="Hyperlink"/>
            <w:lang w:val="en-CA"/>
          </w:rPr>
          <w:t>https://myhealth.alberta.ca/Health/Pages/conditions.aspx?hwid=hw194662</w:t>
        </w:r>
      </w:hyperlink>
      <w:r>
        <w:rPr>
          <w:lang w:val="en-CA"/>
        </w:rPr>
        <w:t xml:space="preserve"> (Accessed: 08 February 2021)</w:t>
      </w:r>
    </w:p>
    <w:p w14:paraId="005378DB" w14:textId="77DFA7FA" w:rsidR="00967AE4" w:rsidRDefault="00967AE4" w:rsidP="00704560">
      <w:pPr>
        <w:spacing w:after="240" w:line="276" w:lineRule="auto"/>
        <w:rPr>
          <w:lang w:val="en-CA"/>
        </w:rPr>
      </w:pPr>
      <w:r w:rsidRPr="00967AE4">
        <w:rPr>
          <w:lang w:val="en-CA"/>
        </w:rPr>
        <w:t xml:space="preserve">Al-Hindi, M. Y., Al </w:t>
      </w:r>
      <w:proofErr w:type="spellStart"/>
      <w:r w:rsidRPr="00967AE4">
        <w:rPr>
          <w:lang w:val="en-CA"/>
        </w:rPr>
        <w:t>Sayari</w:t>
      </w:r>
      <w:proofErr w:type="spellEnd"/>
      <w:r w:rsidRPr="00967AE4">
        <w:rPr>
          <w:lang w:val="en-CA"/>
        </w:rPr>
        <w:t xml:space="preserve">, T. A., Al </w:t>
      </w:r>
      <w:proofErr w:type="spellStart"/>
      <w:r w:rsidRPr="00967AE4">
        <w:rPr>
          <w:lang w:val="en-CA"/>
        </w:rPr>
        <w:t>Solami</w:t>
      </w:r>
      <w:proofErr w:type="spellEnd"/>
      <w:r w:rsidRPr="00967AE4">
        <w:rPr>
          <w:lang w:val="en-CA"/>
        </w:rPr>
        <w:t xml:space="preserve">, R., Al </w:t>
      </w:r>
      <w:proofErr w:type="spellStart"/>
      <w:r w:rsidRPr="00967AE4">
        <w:rPr>
          <w:lang w:val="en-CA"/>
        </w:rPr>
        <w:t>Baiti</w:t>
      </w:r>
      <w:proofErr w:type="spellEnd"/>
      <w:r w:rsidRPr="00967AE4">
        <w:rPr>
          <w:lang w:val="en-CA"/>
        </w:rPr>
        <w:t xml:space="preserve">, A. K., </w:t>
      </w:r>
      <w:proofErr w:type="spellStart"/>
      <w:r w:rsidRPr="00967AE4">
        <w:rPr>
          <w:lang w:val="en-CA"/>
        </w:rPr>
        <w:t>Alnemri</w:t>
      </w:r>
      <w:proofErr w:type="spellEnd"/>
      <w:r w:rsidRPr="00967AE4">
        <w:rPr>
          <w:lang w:val="en-CA"/>
        </w:rPr>
        <w:t xml:space="preserve">, J. A., Mirza, I. M., </w:t>
      </w:r>
      <w:proofErr w:type="spellStart"/>
      <w:r w:rsidRPr="00967AE4">
        <w:rPr>
          <w:lang w:val="en-CA"/>
        </w:rPr>
        <w:t>Alattas</w:t>
      </w:r>
      <w:proofErr w:type="spellEnd"/>
      <w:r w:rsidRPr="00967AE4">
        <w:rPr>
          <w:lang w:val="en-CA"/>
        </w:rPr>
        <w:t xml:space="preserve">, A., </w:t>
      </w:r>
      <w:r>
        <w:rPr>
          <w:lang w:val="en-CA"/>
        </w:rPr>
        <w:t>and</w:t>
      </w:r>
      <w:r w:rsidRPr="00967AE4">
        <w:rPr>
          <w:lang w:val="en-CA"/>
        </w:rPr>
        <w:t xml:space="preserve"> </w:t>
      </w:r>
      <w:proofErr w:type="spellStart"/>
      <w:r w:rsidRPr="00967AE4">
        <w:rPr>
          <w:lang w:val="en-CA"/>
        </w:rPr>
        <w:t>Faden</w:t>
      </w:r>
      <w:proofErr w:type="spellEnd"/>
      <w:r w:rsidRPr="00967AE4">
        <w:rPr>
          <w:lang w:val="en-CA"/>
        </w:rPr>
        <w:t xml:space="preserve">, Y. A. (2020). </w:t>
      </w:r>
      <w:r>
        <w:rPr>
          <w:lang w:val="en-CA"/>
        </w:rPr>
        <w:t>“</w:t>
      </w:r>
      <w:r w:rsidRPr="00967AE4">
        <w:rPr>
          <w:lang w:val="en-CA"/>
        </w:rPr>
        <w:t xml:space="preserve">Association of Antenatal Risk Score </w:t>
      </w:r>
      <w:r>
        <w:rPr>
          <w:lang w:val="en-CA"/>
        </w:rPr>
        <w:t>w</w:t>
      </w:r>
      <w:r w:rsidRPr="00967AE4">
        <w:rPr>
          <w:lang w:val="en-CA"/>
        </w:rPr>
        <w:t>ith Maternal and Neonatal Mortality and Morbidity</w:t>
      </w:r>
      <w:r>
        <w:rPr>
          <w:lang w:val="en-CA"/>
        </w:rPr>
        <w:t>”</w:t>
      </w:r>
      <w:r w:rsidR="00C8433D">
        <w:rPr>
          <w:lang w:val="en-CA"/>
        </w:rPr>
        <w:t>,</w:t>
      </w:r>
      <w:r w:rsidRPr="00967AE4">
        <w:rPr>
          <w:lang w:val="en-CA"/>
        </w:rPr>
        <w:t> </w:t>
      </w:r>
      <w:proofErr w:type="spellStart"/>
      <w:r w:rsidRPr="00967AE4">
        <w:rPr>
          <w:i/>
          <w:iCs/>
          <w:lang w:val="en-CA"/>
        </w:rPr>
        <w:t>Cureus</w:t>
      </w:r>
      <w:proofErr w:type="spellEnd"/>
      <w:r w:rsidRPr="00967AE4">
        <w:rPr>
          <w:lang w:val="en-CA"/>
        </w:rPr>
        <w:t>, </w:t>
      </w:r>
      <w:r w:rsidRPr="00967AE4">
        <w:rPr>
          <w:i/>
          <w:iCs/>
          <w:lang w:val="en-CA"/>
        </w:rPr>
        <w:t>12</w:t>
      </w:r>
      <w:r w:rsidRPr="00967AE4">
        <w:rPr>
          <w:lang w:val="en-CA"/>
        </w:rPr>
        <w:t>(12)</w:t>
      </w:r>
      <w:r w:rsidR="00C8433D">
        <w:rPr>
          <w:lang w:val="en-CA"/>
        </w:rPr>
        <w:t xml:space="preserve">. </w:t>
      </w:r>
      <w:proofErr w:type="spellStart"/>
      <w:r w:rsidR="00C8433D">
        <w:rPr>
          <w:lang w:val="en-CA"/>
        </w:rPr>
        <w:t>doi</w:t>
      </w:r>
      <w:proofErr w:type="spellEnd"/>
      <w:r w:rsidR="00C8433D">
        <w:rPr>
          <w:lang w:val="en-CA"/>
        </w:rPr>
        <w:t>:</w:t>
      </w:r>
      <w:r w:rsidR="00C8433D" w:rsidRPr="00C8433D">
        <w:rPr>
          <w:rFonts w:eastAsia="Times New Roman"/>
          <w:lang w:val="en-CA"/>
        </w:rPr>
        <w:t xml:space="preserve"> </w:t>
      </w:r>
      <w:r w:rsidR="00C8433D" w:rsidRPr="00C8433D">
        <w:rPr>
          <w:lang w:val="en-CA"/>
        </w:rPr>
        <w:t xml:space="preserve">10.7759/cureus.12230 </w:t>
      </w:r>
    </w:p>
    <w:p w14:paraId="06777584" w14:textId="700581D4" w:rsidR="00FC224A" w:rsidRDefault="00FC224A" w:rsidP="00704560">
      <w:pPr>
        <w:spacing w:after="240" w:line="276" w:lineRule="auto"/>
        <w:rPr>
          <w:lang w:val="en-CA"/>
        </w:rPr>
      </w:pPr>
      <w:r w:rsidRPr="00FC224A">
        <w:rPr>
          <w:lang w:val="en-CA"/>
        </w:rPr>
        <w:t xml:space="preserve">Burstyn I. </w:t>
      </w:r>
      <w:r w:rsidR="00C8433D">
        <w:rPr>
          <w:lang w:val="en-CA"/>
        </w:rPr>
        <w:t>(2010) “</w:t>
      </w:r>
      <w:r w:rsidRPr="00FC224A">
        <w:rPr>
          <w:lang w:val="en-CA"/>
        </w:rPr>
        <w:t>Antepartum risk score predicts adverse birth outcomes</w:t>
      </w:r>
      <w:r w:rsidR="00C8433D">
        <w:rPr>
          <w:lang w:val="en-CA"/>
        </w:rPr>
        <w:t>”,</w:t>
      </w:r>
      <w:r w:rsidRPr="00FC224A">
        <w:rPr>
          <w:lang w:val="en-CA"/>
        </w:rPr>
        <w:t xml:space="preserve"> </w:t>
      </w:r>
      <w:r w:rsidR="00302D97" w:rsidRPr="00302D97">
        <w:rPr>
          <w:i/>
          <w:iCs/>
          <w:lang w:val="en-CA"/>
        </w:rPr>
        <w:t>Journal of Obstetrics and Gynaecology Canada</w:t>
      </w:r>
      <w:r w:rsidR="00C8433D">
        <w:rPr>
          <w:lang w:val="en-CA"/>
        </w:rPr>
        <w:t xml:space="preserve">, </w:t>
      </w:r>
      <w:r w:rsidRPr="00FC224A">
        <w:rPr>
          <w:lang w:val="en-CA"/>
        </w:rPr>
        <w:t>32(1)</w:t>
      </w:r>
      <w:r w:rsidR="00C8433D">
        <w:rPr>
          <w:lang w:val="en-CA"/>
        </w:rPr>
        <w:t xml:space="preserve">, pp. </w:t>
      </w:r>
      <w:r w:rsidRPr="00FC224A">
        <w:rPr>
          <w:lang w:val="en-CA"/>
        </w:rPr>
        <w:t xml:space="preserve">16-20. </w:t>
      </w:r>
      <w:proofErr w:type="spellStart"/>
      <w:r w:rsidRPr="00FC224A">
        <w:rPr>
          <w:lang w:val="en-CA"/>
        </w:rPr>
        <w:t>doi</w:t>
      </w:r>
      <w:proofErr w:type="spellEnd"/>
      <w:r w:rsidRPr="00FC224A">
        <w:rPr>
          <w:lang w:val="en-CA"/>
        </w:rPr>
        <w:t>: 10.1016/S1701-2163(16)34398-5</w:t>
      </w:r>
    </w:p>
    <w:p w14:paraId="6467CEE3" w14:textId="6D74E6B7" w:rsidR="00967AE4" w:rsidRDefault="00967AE4" w:rsidP="00704560">
      <w:pPr>
        <w:spacing w:after="240" w:line="276" w:lineRule="auto"/>
        <w:rPr>
          <w:lang w:val="en-CA"/>
        </w:rPr>
      </w:pPr>
      <w:r w:rsidRPr="00967AE4">
        <w:rPr>
          <w:lang w:val="en-CA"/>
        </w:rPr>
        <w:t xml:space="preserve">Goodwin, J. W., Dunne, J. T., </w:t>
      </w:r>
      <w:r>
        <w:rPr>
          <w:lang w:val="en-CA"/>
        </w:rPr>
        <w:t xml:space="preserve">and </w:t>
      </w:r>
      <w:r w:rsidRPr="00967AE4">
        <w:rPr>
          <w:lang w:val="en-CA"/>
        </w:rPr>
        <w:t xml:space="preserve">Thomas, B. W. (1969). </w:t>
      </w:r>
      <w:r>
        <w:rPr>
          <w:lang w:val="en-CA"/>
        </w:rPr>
        <w:t>“</w:t>
      </w:r>
      <w:r w:rsidRPr="00967AE4">
        <w:rPr>
          <w:lang w:val="en-CA"/>
        </w:rPr>
        <w:t>Antepartum identification of the fetus at risk</w:t>
      </w:r>
      <w:r>
        <w:rPr>
          <w:lang w:val="en-CA"/>
        </w:rPr>
        <w:t>”</w:t>
      </w:r>
      <w:r w:rsidR="00980BC6">
        <w:rPr>
          <w:lang w:val="en-CA"/>
        </w:rPr>
        <w:t>,</w:t>
      </w:r>
      <w:r w:rsidRPr="00967AE4">
        <w:rPr>
          <w:lang w:val="en-CA"/>
        </w:rPr>
        <w:t xml:space="preserve"> </w:t>
      </w:r>
      <w:r w:rsidRPr="00967AE4">
        <w:rPr>
          <w:i/>
          <w:iCs/>
          <w:lang w:val="en-CA"/>
        </w:rPr>
        <w:t xml:space="preserve">Canadian Medical Association </w:t>
      </w:r>
      <w:r>
        <w:rPr>
          <w:i/>
          <w:iCs/>
          <w:lang w:val="en-CA"/>
        </w:rPr>
        <w:t>J</w:t>
      </w:r>
      <w:r w:rsidRPr="00967AE4">
        <w:rPr>
          <w:i/>
          <w:iCs/>
          <w:lang w:val="en-CA"/>
        </w:rPr>
        <w:t>ournal</w:t>
      </w:r>
      <w:r w:rsidRPr="00967AE4">
        <w:rPr>
          <w:lang w:val="en-CA"/>
        </w:rPr>
        <w:t xml:space="preserve">, 101(8), </w:t>
      </w:r>
      <w:r>
        <w:rPr>
          <w:lang w:val="en-CA"/>
        </w:rPr>
        <w:t>pp.</w:t>
      </w:r>
      <w:r w:rsidRPr="00967AE4">
        <w:rPr>
          <w:lang w:val="en-CA"/>
        </w:rPr>
        <w:t>57–</w:t>
      </w:r>
      <w:r>
        <w:rPr>
          <w:lang w:val="en-CA"/>
        </w:rPr>
        <w:t>67</w:t>
      </w:r>
      <w:r w:rsidRPr="00967AE4">
        <w:rPr>
          <w:lang w:val="en-CA"/>
        </w:rPr>
        <w:t>.</w:t>
      </w:r>
    </w:p>
    <w:p w14:paraId="0B07CACE" w14:textId="77EBBCBA" w:rsidR="00DD1DEF" w:rsidRDefault="00DD1DEF" w:rsidP="00704560">
      <w:pPr>
        <w:spacing w:after="240" w:line="276" w:lineRule="auto"/>
        <w:rPr>
          <w:lang w:val="en-CA"/>
        </w:rPr>
      </w:pPr>
      <w:r>
        <w:rPr>
          <w:lang w:val="en-CA"/>
        </w:rPr>
        <w:t>Mayo Clinic</w:t>
      </w:r>
      <w:r w:rsidR="00967AE4">
        <w:rPr>
          <w:lang w:val="en-CA"/>
        </w:rPr>
        <w:t xml:space="preserve"> (2021)</w:t>
      </w:r>
      <w:r>
        <w:rPr>
          <w:lang w:val="en-CA"/>
        </w:rPr>
        <w:t xml:space="preserve"> </w:t>
      </w:r>
      <w:r w:rsidRPr="00DD1DEF">
        <w:rPr>
          <w:i/>
          <w:iCs/>
          <w:lang w:val="en-CA"/>
        </w:rPr>
        <w:t>Labour Induction</w:t>
      </w:r>
      <w:r>
        <w:rPr>
          <w:lang w:val="en-CA"/>
        </w:rPr>
        <w:t xml:space="preserve"> [Online]. Available at: </w:t>
      </w:r>
      <w:hyperlink r:id="rId5" w:history="1">
        <w:r w:rsidRPr="006F0886">
          <w:rPr>
            <w:rStyle w:val="Hyperlink"/>
            <w:lang w:val="en-CA"/>
          </w:rPr>
          <w:t>https://www.mayoclinic.org/tests-procedures/labor-induction/about/pac-20385141</w:t>
        </w:r>
      </w:hyperlink>
      <w:r>
        <w:rPr>
          <w:lang w:val="en-CA"/>
        </w:rPr>
        <w:t xml:space="preserve"> (Accessed: 08 February 2021)</w:t>
      </w:r>
    </w:p>
    <w:p w14:paraId="3533C482" w14:textId="4FE54F39" w:rsidR="00DD1DEF" w:rsidRPr="00DD1DEF" w:rsidRDefault="00DD1DEF" w:rsidP="00704560">
      <w:pPr>
        <w:spacing w:after="240" w:line="276" w:lineRule="auto"/>
        <w:rPr>
          <w:rFonts w:eastAsia="Times New Roman"/>
          <w:lang w:val="en-CA"/>
        </w:rPr>
      </w:pPr>
      <w:proofErr w:type="spellStart"/>
      <w:r w:rsidRPr="002E0D3F">
        <w:rPr>
          <w:lang w:val="en-CA"/>
        </w:rPr>
        <w:t>Seijmonsbergen-Schermers</w:t>
      </w:r>
      <w:proofErr w:type="spellEnd"/>
      <w:r>
        <w:rPr>
          <w:lang w:val="en-CA"/>
        </w:rPr>
        <w:t xml:space="preserve">, </w:t>
      </w:r>
      <w:proofErr w:type="spellStart"/>
      <w:r>
        <w:rPr>
          <w:lang w:val="en-CA"/>
        </w:rPr>
        <w:t>S</w:t>
      </w:r>
      <w:r w:rsidRPr="002E0D3F">
        <w:rPr>
          <w:lang w:val="en-CA"/>
        </w:rPr>
        <w:t>cherjon</w:t>
      </w:r>
      <w:proofErr w:type="spellEnd"/>
      <w:r>
        <w:rPr>
          <w:lang w:val="en-CA"/>
        </w:rPr>
        <w:t xml:space="preserve">, and </w:t>
      </w:r>
      <w:r>
        <w:rPr>
          <w:rFonts w:eastAsia="Times New Roman"/>
          <w:lang w:val="en-CA"/>
        </w:rPr>
        <w:t>D</w:t>
      </w:r>
      <w:r w:rsidRPr="002E0D3F">
        <w:rPr>
          <w:rFonts w:eastAsia="Times New Roman"/>
          <w:lang w:val="en-CA"/>
        </w:rPr>
        <w:t xml:space="preserve">e </w:t>
      </w:r>
      <w:proofErr w:type="spellStart"/>
      <w:r>
        <w:rPr>
          <w:rFonts w:eastAsia="Times New Roman"/>
          <w:lang w:val="en-CA"/>
        </w:rPr>
        <w:t>J</w:t>
      </w:r>
      <w:r w:rsidRPr="002E0D3F">
        <w:rPr>
          <w:rFonts w:eastAsia="Times New Roman"/>
          <w:lang w:val="en-CA"/>
        </w:rPr>
        <w:t>onge</w:t>
      </w:r>
      <w:proofErr w:type="spellEnd"/>
      <w:r>
        <w:rPr>
          <w:rFonts w:eastAsia="Times New Roman"/>
          <w:lang w:val="en-CA"/>
        </w:rPr>
        <w:t xml:space="preserve"> (2019) </w:t>
      </w:r>
      <w:r w:rsidR="00967AE4">
        <w:rPr>
          <w:rFonts w:eastAsia="Times New Roman"/>
          <w:lang w:val="en-CA"/>
        </w:rPr>
        <w:t>“</w:t>
      </w:r>
      <w:r w:rsidRPr="00967AE4">
        <w:rPr>
          <w:rFonts w:eastAsia="Times New Roman"/>
          <w:lang w:val="en-CA"/>
        </w:rPr>
        <w:t>Induction of labour should be offered to all women at term AGAINST: Induction of labour should not be offered to all women at term: first, do no harm</w:t>
      </w:r>
      <w:r w:rsidR="00967AE4">
        <w:rPr>
          <w:rFonts w:eastAsia="Times New Roman"/>
          <w:lang w:val="en-CA"/>
        </w:rPr>
        <w:t>”</w:t>
      </w:r>
      <w:r w:rsidR="00980BC6">
        <w:rPr>
          <w:rFonts w:eastAsia="Times New Roman"/>
          <w:i/>
          <w:iCs/>
          <w:lang w:val="en-CA"/>
        </w:rPr>
        <w:t>,</w:t>
      </w:r>
      <w:r>
        <w:rPr>
          <w:rFonts w:eastAsia="Times New Roman"/>
          <w:lang w:val="en-CA"/>
        </w:rPr>
        <w:t xml:space="preserve"> </w:t>
      </w:r>
      <w:proofErr w:type="spellStart"/>
      <w:r w:rsidRPr="00967AE4">
        <w:rPr>
          <w:rFonts w:eastAsia="Times New Roman"/>
          <w:i/>
          <w:iCs/>
          <w:lang w:val="en-CA"/>
        </w:rPr>
        <w:t>BJOG</w:t>
      </w:r>
      <w:proofErr w:type="spellEnd"/>
      <w:r w:rsidRPr="00967AE4">
        <w:rPr>
          <w:rFonts w:eastAsia="Times New Roman"/>
          <w:i/>
          <w:iCs/>
          <w:lang w:val="en-CA"/>
        </w:rPr>
        <w:t>: an international journal of obstetrics and gynaecology</w:t>
      </w:r>
      <w:r w:rsidRPr="00DD1DEF">
        <w:rPr>
          <w:rFonts w:eastAsia="Times New Roman"/>
          <w:lang w:val="en-CA"/>
        </w:rPr>
        <w:t>, 126(13), p.1599.</w:t>
      </w:r>
    </w:p>
    <w:p w14:paraId="1057188F" w14:textId="1E06730A" w:rsidR="00DD1DEF" w:rsidRDefault="00DD1DEF" w:rsidP="00704560">
      <w:pPr>
        <w:spacing w:after="240" w:line="276" w:lineRule="auto"/>
        <w:rPr>
          <w:lang w:val="en-CA"/>
        </w:rPr>
      </w:pPr>
    </w:p>
    <w:sectPr w:rsidR="00DD1DEF" w:rsidSect="00C661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4E"/>
    <w:rsid w:val="000014C2"/>
    <w:rsid w:val="0002178A"/>
    <w:rsid w:val="000225D0"/>
    <w:rsid w:val="00050EE6"/>
    <w:rsid w:val="0005477D"/>
    <w:rsid w:val="00063A1B"/>
    <w:rsid w:val="00063E8C"/>
    <w:rsid w:val="0008308E"/>
    <w:rsid w:val="00084B91"/>
    <w:rsid w:val="00086491"/>
    <w:rsid w:val="00091D9F"/>
    <w:rsid w:val="000A06F0"/>
    <w:rsid w:val="000A2D2C"/>
    <w:rsid w:val="000A38B8"/>
    <w:rsid w:val="000C6CE9"/>
    <w:rsid w:val="000C78A1"/>
    <w:rsid w:val="000E1995"/>
    <w:rsid w:val="00105500"/>
    <w:rsid w:val="00106DD8"/>
    <w:rsid w:val="001166B2"/>
    <w:rsid w:val="00126601"/>
    <w:rsid w:val="00130B8C"/>
    <w:rsid w:val="001504BE"/>
    <w:rsid w:val="0015201E"/>
    <w:rsid w:val="001639CD"/>
    <w:rsid w:val="00194A7B"/>
    <w:rsid w:val="001A595B"/>
    <w:rsid w:val="001C4493"/>
    <w:rsid w:val="001C63F5"/>
    <w:rsid w:val="001E1B43"/>
    <w:rsid w:val="00200D9D"/>
    <w:rsid w:val="002476D6"/>
    <w:rsid w:val="00257058"/>
    <w:rsid w:val="002574F5"/>
    <w:rsid w:val="00266B61"/>
    <w:rsid w:val="002704CD"/>
    <w:rsid w:val="00294B9E"/>
    <w:rsid w:val="00294BD0"/>
    <w:rsid w:val="002C6DCB"/>
    <w:rsid w:val="002D5541"/>
    <w:rsid w:val="002E090B"/>
    <w:rsid w:val="002E0D3F"/>
    <w:rsid w:val="003020CB"/>
    <w:rsid w:val="00302D97"/>
    <w:rsid w:val="00311A18"/>
    <w:rsid w:val="0035206C"/>
    <w:rsid w:val="0036032F"/>
    <w:rsid w:val="003606B8"/>
    <w:rsid w:val="003761DB"/>
    <w:rsid w:val="00380420"/>
    <w:rsid w:val="00395458"/>
    <w:rsid w:val="003A594E"/>
    <w:rsid w:val="003A5A35"/>
    <w:rsid w:val="003A6805"/>
    <w:rsid w:val="003B0766"/>
    <w:rsid w:val="003B1A16"/>
    <w:rsid w:val="003D2394"/>
    <w:rsid w:val="003D7A6B"/>
    <w:rsid w:val="003F0CBF"/>
    <w:rsid w:val="00403C5B"/>
    <w:rsid w:val="0040602B"/>
    <w:rsid w:val="00446CA3"/>
    <w:rsid w:val="00451CD8"/>
    <w:rsid w:val="00461677"/>
    <w:rsid w:val="004619AC"/>
    <w:rsid w:val="00466E71"/>
    <w:rsid w:val="00470B25"/>
    <w:rsid w:val="0047422E"/>
    <w:rsid w:val="00485D5C"/>
    <w:rsid w:val="004924F6"/>
    <w:rsid w:val="004A469B"/>
    <w:rsid w:val="004A721D"/>
    <w:rsid w:val="004D6AA7"/>
    <w:rsid w:val="004E2220"/>
    <w:rsid w:val="004F180C"/>
    <w:rsid w:val="005145DD"/>
    <w:rsid w:val="00521050"/>
    <w:rsid w:val="00536131"/>
    <w:rsid w:val="005405EB"/>
    <w:rsid w:val="005437D2"/>
    <w:rsid w:val="005621DE"/>
    <w:rsid w:val="005812B4"/>
    <w:rsid w:val="0059265F"/>
    <w:rsid w:val="005A060D"/>
    <w:rsid w:val="005A73AF"/>
    <w:rsid w:val="005C3348"/>
    <w:rsid w:val="005C5094"/>
    <w:rsid w:val="00603FC3"/>
    <w:rsid w:val="00611BFC"/>
    <w:rsid w:val="00633A6D"/>
    <w:rsid w:val="00654165"/>
    <w:rsid w:val="00655E41"/>
    <w:rsid w:val="00673686"/>
    <w:rsid w:val="00681421"/>
    <w:rsid w:val="00682ABB"/>
    <w:rsid w:val="00690AC9"/>
    <w:rsid w:val="00692249"/>
    <w:rsid w:val="00693B2C"/>
    <w:rsid w:val="006A5B56"/>
    <w:rsid w:val="006C69A0"/>
    <w:rsid w:val="006D0608"/>
    <w:rsid w:val="00704560"/>
    <w:rsid w:val="00723A3B"/>
    <w:rsid w:val="00723FE6"/>
    <w:rsid w:val="00727F28"/>
    <w:rsid w:val="007451D9"/>
    <w:rsid w:val="00746281"/>
    <w:rsid w:val="0076610A"/>
    <w:rsid w:val="00794C0D"/>
    <w:rsid w:val="007F0652"/>
    <w:rsid w:val="007F0AA1"/>
    <w:rsid w:val="007F1089"/>
    <w:rsid w:val="007F24ED"/>
    <w:rsid w:val="00810E6C"/>
    <w:rsid w:val="00814483"/>
    <w:rsid w:val="0081596F"/>
    <w:rsid w:val="008768AE"/>
    <w:rsid w:val="008900C2"/>
    <w:rsid w:val="008912D3"/>
    <w:rsid w:val="00892D4E"/>
    <w:rsid w:val="008A3709"/>
    <w:rsid w:val="008B1532"/>
    <w:rsid w:val="008B477E"/>
    <w:rsid w:val="008B5272"/>
    <w:rsid w:val="008C3C5E"/>
    <w:rsid w:val="008D2993"/>
    <w:rsid w:val="008D66BC"/>
    <w:rsid w:val="008F12F3"/>
    <w:rsid w:val="008F4978"/>
    <w:rsid w:val="0090030C"/>
    <w:rsid w:val="0091642C"/>
    <w:rsid w:val="00937084"/>
    <w:rsid w:val="00937628"/>
    <w:rsid w:val="00954D1F"/>
    <w:rsid w:val="00967AE4"/>
    <w:rsid w:val="00980BC6"/>
    <w:rsid w:val="00985D38"/>
    <w:rsid w:val="00991815"/>
    <w:rsid w:val="009A4F7A"/>
    <w:rsid w:val="009A7232"/>
    <w:rsid w:val="009C3C33"/>
    <w:rsid w:val="009C6237"/>
    <w:rsid w:val="009E4BF0"/>
    <w:rsid w:val="009F2871"/>
    <w:rsid w:val="00A05364"/>
    <w:rsid w:val="00A3428D"/>
    <w:rsid w:val="00A44ACF"/>
    <w:rsid w:val="00A46663"/>
    <w:rsid w:val="00A47FEC"/>
    <w:rsid w:val="00A51C31"/>
    <w:rsid w:val="00A61E4F"/>
    <w:rsid w:val="00A9126E"/>
    <w:rsid w:val="00A93946"/>
    <w:rsid w:val="00AA662C"/>
    <w:rsid w:val="00AB3F14"/>
    <w:rsid w:val="00AB5843"/>
    <w:rsid w:val="00AD047F"/>
    <w:rsid w:val="00AD04D6"/>
    <w:rsid w:val="00AD19E2"/>
    <w:rsid w:val="00B005CE"/>
    <w:rsid w:val="00B14FA1"/>
    <w:rsid w:val="00B22A66"/>
    <w:rsid w:val="00B3495C"/>
    <w:rsid w:val="00B651E6"/>
    <w:rsid w:val="00B6595F"/>
    <w:rsid w:val="00B96434"/>
    <w:rsid w:val="00BA7A5C"/>
    <w:rsid w:val="00BB75B6"/>
    <w:rsid w:val="00BD1389"/>
    <w:rsid w:val="00BE4434"/>
    <w:rsid w:val="00BF51DB"/>
    <w:rsid w:val="00C207C6"/>
    <w:rsid w:val="00C41484"/>
    <w:rsid w:val="00C50F8E"/>
    <w:rsid w:val="00C54675"/>
    <w:rsid w:val="00C6614C"/>
    <w:rsid w:val="00C8433D"/>
    <w:rsid w:val="00CC4AC4"/>
    <w:rsid w:val="00CC548C"/>
    <w:rsid w:val="00CD7CC1"/>
    <w:rsid w:val="00D21503"/>
    <w:rsid w:val="00D26C6F"/>
    <w:rsid w:val="00D3261A"/>
    <w:rsid w:val="00D43B32"/>
    <w:rsid w:val="00D96246"/>
    <w:rsid w:val="00DA18F8"/>
    <w:rsid w:val="00DD1DEF"/>
    <w:rsid w:val="00DF54FA"/>
    <w:rsid w:val="00E0088D"/>
    <w:rsid w:val="00E03DFF"/>
    <w:rsid w:val="00E15126"/>
    <w:rsid w:val="00E15BED"/>
    <w:rsid w:val="00E17C80"/>
    <w:rsid w:val="00E479FC"/>
    <w:rsid w:val="00E6031D"/>
    <w:rsid w:val="00E6238D"/>
    <w:rsid w:val="00E6601E"/>
    <w:rsid w:val="00E75309"/>
    <w:rsid w:val="00EC7645"/>
    <w:rsid w:val="00ED290D"/>
    <w:rsid w:val="00ED76BD"/>
    <w:rsid w:val="00F34D17"/>
    <w:rsid w:val="00F35A68"/>
    <w:rsid w:val="00F40F1D"/>
    <w:rsid w:val="00F5090D"/>
    <w:rsid w:val="00F62242"/>
    <w:rsid w:val="00F85224"/>
    <w:rsid w:val="00F8594C"/>
    <w:rsid w:val="00F87A08"/>
    <w:rsid w:val="00F91630"/>
    <w:rsid w:val="00FA35E5"/>
    <w:rsid w:val="00FB555F"/>
    <w:rsid w:val="00FC224A"/>
    <w:rsid w:val="00FF4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FE22E"/>
  <w15:chartTrackingRefBased/>
  <w15:docId w15:val="{8B1D51A4-D501-B047-A527-C93E72C3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D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DEF"/>
    <w:rPr>
      <w:color w:val="0563C1" w:themeColor="hyperlink"/>
      <w:u w:val="single"/>
    </w:rPr>
  </w:style>
  <w:style w:type="character" w:styleId="UnresolvedMention">
    <w:name w:val="Unresolved Mention"/>
    <w:basedOn w:val="DefaultParagraphFont"/>
    <w:uiPriority w:val="99"/>
    <w:rsid w:val="00DD1DEF"/>
    <w:rPr>
      <w:color w:val="605E5C"/>
      <w:shd w:val="clear" w:color="auto" w:fill="E1DFDD"/>
    </w:rPr>
  </w:style>
  <w:style w:type="character" w:customStyle="1" w:styleId="Heading1Char">
    <w:name w:val="Heading 1 Char"/>
    <w:basedOn w:val="DefaultParagraphFont"/>
    <w:link w:val="Heading1"/>
    <w:uiPriority w:val="9"/>
    <w:rsid w:val="00DD1DE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D1DEF"/>
    <w:rPr>
      <w:color w:val="954F72" w:themeColor="followedHyperlink"/>
      <w:u w:val="single"/>
    </w:rPr>
  </w:style>
  <w:style w:type="character" w:styleId="PlaceholderText">
    <w:name w:val="Placeholder Text"/>
    <w:basedOn w:val="DefaultParagraphFont"/>
    <w:uiPriority w:val="99"/>
    <w:semiHidden/>
    <w:rsid w:val="00D96246"/>
    <w:rPr>
      <w:color w:val="808080"/>
    </w:rPr>
  </w:style>
  <w:style w:type="table" w:styleId="TableGrid">
    <w:name w:val="Table Grid"/>
    <w:basedOn w:val="TableNormal"/>
    <w:uiPriority w:val="39"/>
    <w:rsid w:val="00106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34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F34D17"/>
    <w:rPr>
      <w:rFonts w:ascii="Courier New" w:eastAsia="Times New Roman" w:hAnsi="Courier New" w:cs="Courier New"/>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74">
      <w:bodyDiv w:val="1"/>
      <w:marLeft w:val="0"/>
      <w:marRight w:val="0"/>
      <w:marTop w:val="0"/>
      <w:marBottom w:val="0"/>
      <w:divBdr>
        <w:top w:val="none" w:sz="0" w:space="0" w:color="auto"/>
        <w:left w:val="none" w:sz="0" w:space="0" w:color="auto"/>
        <w:bottom w:val="none" w:sz="0" w:space="0" w:color="auto"/>
        <w:right w:val="none" w:sz="0" w:space="0" w:color="auto"/>
      </w:divBdr>
    </w:div>
    <w:div w:id="33964255">
      <w:bodyDiv w:val="1"/>
      <w:marLeft w:val="0"/>
      <w:marRight w:val="0"/>
      <w:marTop w:val="0"/>
      <w:marBottom w:val="0"/>
      <w:divBdr>
        <w:top w:val="none" w:sz="0" w:space="0" w:color="auto"/>
        <w:left w:val="none" w:sz="0" w:space="0" w:color="auto"/>
        <w:bottom w:val="none" w:sz="0" w:space="0" w:color="auto"/>
        <w:right w:val="none" w:sz="0" w:space="0" w:color="auto"/>
      </w:divBdr>
    </w:div>
    <w:div w:id="177811321">
      <w:bodyDiv w:val="1"/>
      <w:marLeft w:val="0"/>
      <w:marRight w:val="0"/>
      <w:marTop w:val="0"/>
      <w:marBottom w:val="0"/>
      <w:divBdr>
        <w:top w:val="none" w:sz="0" w:space="0" w:color="auto"/>
        <w:left w:val="none" w:sz="0" w:space="0" w:color="auto"/>
        <w:bottom w:val="none" w:sz="0" w:space="0" w:color="auto"/>
        <w:right w:val="none" w:sz="0" w:space="0" w:color="auto"/>
      </w:divBdr>
    </w:div>
    <w:div w:id="179242375">
      <w:bodyDiv w:val="1"/>
      <w:marLeft w:val="0"/>
      <w:marRight w:val="0"/>
      <w:marTop w:val="0"/>
      <w:marBottom w:val="0"/>
      <w:divBdr>
        <w:top w:val="none" w:sz="0" w:space="0" w:color="auto"/>
        <w:left w:val="none" w:sz="0" w:space="0" w:color="auto"/>
        <w:bottom w:val="none" w:sz="0" w:space="0" w:color="auto"/>
        <w:right w:val="none" w:sz="0" w:space="0" w:color="auto"/>
      </w:divBdr>
    </w:div>
    <w:div w:id="247613582">
      <w:bodyDiv w:val="1"/>
      <w:marLeft w:val="0"/>
      <w:marRight w:val="0"/>
      <w:marTop w:val="0"/>
      <w:marBottom w:val="0"/>
      <w:divBdr>
        <w:top w:val="none" w:sz="0" w:space="0" w:color="auto"/>
        <w:left w:val="none" w:sz="0" w:space="0" w:color="auto"/>
        <w:bottom w:val="none" w:sz="0" w:space="0" w:color="auto"/>
        <w:right w:val="none" w:sz="0" w:space="0" w:color="auto"/>
      </w:divBdr>
    </w:div>
    <w:div w:id="364527709">
      <w:bodyDiv w:val="1"/>
      <w:marLeft w:val="0"/>
      <w:marRight w:val="0"/>
      <w:marTop w:val="0"/>
      <w:marBottom w:val="0"/>
      <w:divBdr>
        <w:top w:val="none" w:sz="0" w:space="0" w:color="auto"/>
        <w:left w:val="none" w:sz="0" w:space="0" w:color="auto"/>
        <w:bottom w:val="none" w:sz="0" w:space="0" w:color="auto"/>
        <w:right w:val="none" w:sz="0" w:space="0" w:color="auto"/>
      </w:divBdr>
    </w:div>
    <w:div w:id="366834520">
      <w:bodyDiv w:val="1"/>
      <w:marLeft w:val="0"/>
      <w:marRight w:val="0"/>
      <w:marTop w:val="0"/>
      <w:marBottom w:val="0"/>
      <w:divBdr>
        <w:top w:val="none" w:sz="0" w:space="0" w:color="auto"/>
        <w:left w:val="none" w:sz="0" w:space="0" w:color="auto"/>
        <w:bottom w:val="none" w:sz="0" w:space="0" w:color="auto"/>
        <w:right w:val="none" w:sz="0" w:space="0" w:color="auto"/>
      </w:divBdr>
    </w:div>
    <w:div w:id="390999477">
      <w:bodyDiv w:val="1"/>
      <w:marLeft w:val="0"/>
      <w:marRight w:val="0"/>
      <w:marTop w:val="0"/>
      <w:marBottom w:val="0"/>
      <w:divBdr>
        <w:top w:val="none" w:sz="0" w:space="0" w:color="auto"/>
        <w:left w:val="none" w:sz="0" w:space="0" w:color="auto"/>
        <w:bottom w:val="none" w:sz="0" w:space="0" w:color="auto"/>
        <w:right w:val="none" w:sz="0" w:space="0" w:color="auto"/>
      </w:divBdr>
    </w:div>
    <w:div w:id="402610673">
      <w:bodyDiv w:val="1"/>
      <w:marLeft w:val="0"/>
      <w:marRight w:val="0"/>
      <w:marTop w:val="0"/>
      <w:marBottom w:val="0"/>
      <w:divBdr>
        <w:top w:val="none" w:sz="0" w:space="0" w:color="auto"/>
        <w:left w:val="none" w:sz="0" w:space="0" w:color="auto"/>
        <w:bottom w:val="none" w:sz="0" w:space="0" w:color="auto"/>
        <w:right w:val="none" w:sz="0" w:space="0" w:color="auto"/>
      </w:divBdr>
    </w:div>
    <w:div w:id="405030040">
      <w:bodyDiv w:val="1"/>
      <w:marLeft w:val="0"/>
      <w:marRight w:val="0"/>
      <w:marTop w:val="0"/>
      <w:marBottom w:val="0"/>
      <w:divBdr>
        <w:top w:val="none" w:sz="0" w:space="0" w:color="auto"/>
        <w:left w:val="none" w:sz="0" w:space="0" w:color="auto"/>
        <w:bottom w:val="none" w:sz="0" w:space="0" w:color="auto"/>
        <w:right w:val="none" w:sz="0" w:space="0" w:color="auto"/>
      </w:divBdr>
    </w:div>
    <w:div w:id="421099500">
      <w:bodyDiv w:val="1"/>
      <w:marLeft w:val="0"/>
      <w:marRight w:val="0"/>
      <w:marTop w:val="0"/>
      <w:marBottom w:val="0"/>
      <w:divBdr>
        <w:top w:val="none" w:sz="0" w:space="0" w:color="auto"/>
        <w:left w:val="none" w:sz="0" w:space="0" w:color="auto"/>
        <w:bottom w:val="none" w:sz="0" w:space="0" w:color="auto"/>
        <w:right w:val="none" w:sz="0" w:space="0" w:color="auto"/>
      </w:divBdr>
    </w:div>
    <w:div w:id="514881173">
      <w:bodyDiv w:val="1"/>
      <w:marLeft w:val="0"/>
      <w:marRight w:val="0"/>
      <w:marTop w:val="0"/>
      <w:marBottom w:val="0"/>
      <w:divBdr>
        <w:top w:val="none" w:sz="0" w:space="0" w:color="auto"/>
        <w:left w:val="none" w:sz="0" w:space="0" w:color="auto"/>
        <w:bottom w:val="none" w:sz="0" w:space="0" w:color="auto"/>
        <w:right w:val="none" w:sz="0" w:space="0" w:color="auto"/>
      </w:divBdr>
    </w:div>
    <w:div w:id="527528463">
      <w:bodyDiv w:val="1"/>
      <w:marLeft w:val="0"/>
      <w:marRight w:val="0"/>
      <w:marTop w:val="0"/>
      <w:marBottom w:val="0"/>
      <w:divBdr>
        <w:top w:val="none" w:sz="0" w:space="0" w:color="auto"/>
        <w:left w:val="none" w:sz="0" w:space="0" w:color="auto"/>
        <w:bottom w:val="none" w:sz="0" w:space="0" w:color="auto"/>
        <w:right w:val="none" w:sz="0" w:space="0" w:color="auto"/>
      </w:divBdr>
    </w:div>
    <w:div w:id="579291522">
      <w:bodyDiv w:val="1"/>
      <w:marLeft w:val="0"/>
      <w:marRight w:val="0"/>
      <w:marTop w:val="0"/>
      <w:marBottom w:val="0"/>
      <w:divBdr>
        <w:top w:val="none" w:sz="0" w:space="0" w:color="auto"/>
        <w:left w:val="none" w:sz="0" w:space="0" w:color="auto"/>
        <w:bottom w:val="none" w:sz="0" w:space="0" w:color="auto"/>
        <w:right w:val="none" w:sz="0" w:space="0" w:color="auto"/>
      </w:divBdr>
    </w:div>
    <w:div w:id="611590570">
      <w:bodyDiv w:val="1"/>
      <w:marLeft w:val="0"/>
      <w:marRight w:val="0"/>
      <w:marTop w:val="0"/>
      <w:marBottom w:val="0"/>
      <w:divBdr>
        <w:top w:val="none" w:sz="0" w:space="0" w:color="auto"/>
        <w:left w:val="none" w:sz="0" w:space="0" w:color="auto"/>
        <w:bottom w:val="none" w:sz="0" w:space="0" w:color="auto"/>
        <w:right w:val="none" w:sz="0" w:space="0" w:color="auto"/>
      </w:divBdr>
    </w:div>
    <w:div w:id="619805121">
      <w:bodyDiv w:val="1"/>
      <w:marLeft w:val="0"/>
      <w:marRight w:val="0"/>
      <w:marTop w:val="0"/>
      <w:marBottom w:val="0"/>
      <w:divBdr>
        <w:top w:val="none" w:sz="0" w:space="0" w:color="auto"/>
        <w:left w:val="none" w:sz="0" w:space="0" w:color="auto"/>
        <w:bottom w:val="none" w:sz="0" w:space="0" w:color="auto"/>
        <w:right w:val="none" w:sz="0" w:space="0" w:color="auto"/>
      </w:divBdr>
    </w:div>
    <w:div w:id="749959683">
      <w:bodyDiv w:val="1"/>
      <w:marLeft w:val="0"/>
      <w:marRight w:val="0"/>
      <w:marTop w:val="0"/>
      <w:marBottom w:val="0"/>
      <w:divBdr>
        <w:top w:val="none" w:sz="0" w:space="0" w:color="auto"/>
        <w:left w:val="none" w:sz="0" w:space="0" w:color="auto"/>
        <w:bottom w:val="none" w:sz="0" w:space="0" w:color="auto"/>
        <w:right w:val="none" w:sz="0" w:space="0" w:color="auto"/>
      </w:divBdr>
    </w:div>
    <w:div w:id="807894455">
      <w:bodyDiv w:val="1"/>
      <w:marLeft w:val="0"/>
      <w:marRight w:val="0"/>
      <w:marTop w:val="0"/>
      <w:marBottom w:val="0"/>
      <w:divBdr>
        <w:top w:val="none" w:sz="0" w:space="0" w:color="auto"/>
        <w:left w:val="none" w:sz="0" w:space="0" w:color="auto"/>
        <w:bottom w:val="none" w:sz="0" w:space="0" w:color="auto"/>
        <w:right w:val="none" w:sz="0" w:space="0" w:color="auto"/>
      </w:divBdr>
    </w:div>
    <w:div w:id="856772989">
      <w:bodyDiv w:val="1"/>
      <w:marLeft w:val="0"/>
      <w:marRight w:val="0"/>
      <w:marTop w:val="0"/>
      <w:marBottom w:val="0"/>
      <w:divBdr>
        <w:top w:val="none" w:sz="0" w:space="0" w:color="auto"/>
        <w:left w:val="none" w:sz="0" w:space="0" w:color="auto"/>
        <w:bottom w:val="none" w:sz="0" w:space="0" w:color="auto"/>
        <w:right w:val="none" w:sz="0" w:space="0" w:color="auto"/>
      </w:divBdr>
    </w:div>
    <w:div w:id="984311454">
      <w:bodyDiv w:val="1"/>
      <w:marLeft w:val="0"/>
      <w:marRight w:val="0"/>
      <w:marTop w:val="0"/>
      <w:marBottom w:val="0"/>
      <w:divBdr>
        <w:top w:val="none" w:sz="0" w:space="0" w:color="auto"/>
        <w:left w:val="none" w:sz="0" w:space="0" w:color="auto"/>
        <w:bottom w:val="none" w:sz="0" w:space="0" w:color="auto"/>
        <w:right w:val="none" w:sz="0" w:space="0" w:color="auto"/>
      </w:divBdr>
    </w:div>
    <w:div w:id="1037201772">
      <w:bodyDiv w:val="1"/>
      <w:marLeft w:val="0"/>
      <w:marRight w:val="0"/>
      <w:marTop w:val="0"/>
      <w:marBottom w:val="0"/>
      <w:divBdr>
        <w:top w:val="none" w:sz="0" w:space="0" w:color="auto"/>
        <w:left w:val="none" w:sz="0" w:space="0" w:color="auto"/>
        <w:bottom w:val="none" w:sz="0" w:space="0" w:color="auto"/>
        <w:right w:val="none" w:sz="0" w:space="0" w:color="auto"/>
      </w:divBdr>
    </w:div>
    <w:div w:id="1091895517">
      <w:bodyDiv w:val="1"/>
      <w:marLeft w:val="0"/>
      <w:marRight w:val="0"/>
      <w:marTop w:val="0"/>
      <w:marBottom w:val="0"/>
      <w:divBdr>
        <w:top w:val="none" w:sz="0" w:space="0" w:color="auto"/>
        <w:left w:val="none" w:sz="0" w:space="0" w:color="auto"/>
        <w:bottom w:val="none" w:sz="0" w:space="0" w:color="auto"/>
        <w:right w:val="none" w:sz="0" w:space="0" w:color="auto"/>
      </w:divBdr>
    </w:div>
    <w:div w:id="1137994047">
      <w:bodyDiv w:val="1"/>
      <w:marLeft w:val="0"/>
      <w:marRight w:val="0"/>
      <w:marTop w:val="0"/>
      <w:marBottom w:val="0"/>
      <w:divBdr>
        <w:top w:val="none" w:sz="0" w:space="0" w:color="auto"/>
        <w:left w:val="none" w:sz="0" w:space="0" w:color="auto"/>
        <w:bottom w:val="none" w:sz="0" w:space="0" w:color="auto"/>
        <w:right w:val="none" w:sz="0" w:space="0" w:color="auto"/>
      </w:divBdr>
    </w:div>
    <w:div w:id="1146821010">
      <w:bodyDiv w:val="1"/>
      <w:marLeft w:val="0"/>
      <w:marRight w:val="0"/>
      <w:marTop w:val="0"/>
      <w:marBottom w:val="0"/>
      <w:divBdr>
        <w:top w:val="none" w:sz="0" w:space="0" w:color="auto"/>
        <w:left w:val="none" w:sz="0" w:space="0" w:color="auto"/>
        <w:bottom w:val="none" w:sz="0" w:space="0" w:color="auto"/>
        <w:right w:val="none" w:sz="0" w:space="0" w:color="auto"/>
      </w:divBdr>
    </w:div>
    <w:div w:id="1192110957">
      <w:bodyDiv w:val="1"/>
      <w:marLeft w:val="0"/>
      <w:marRight w:val="0"/>
      <w:marTop w:val="0"/>
      <w:marBottom w:val="0"/>
      <w:divBdr>
        <w:top w:val="none" w:sz="0" w:space="0" w:color="auto"/>
        <w:left w:val="none" w:sz="0" w:space="0" w:color="auto"/>
        <w:bottom w:val="none" w:sz="0" w:space="0" w:color="auto"/>
        <w:right w:val="none" w:sz="0" w:space="0" w:color="auto"/>
      </w:divBdr>
    </w:div>
    <w:div w:id="1214925639">
      <w:bodyDiv w:val="1"/>
      <w:marLeft w:val="0"/>
      <w:marRight w:val="0"/>
      <w:marTop w:val="0"/>
      <w:marBottom w:val="0"/>
      <w:divBdr>
        <w:top w:val="none" w:sz="0" w:space="0" w:color="auto"/>
        <w:left w:val="none" w:sz="0" w:space="0" w:color="auto"/>
        <w:bottom w:val="none" w:sz="0" w:space="0" w:color="auto"/>
        <w:right w:val="none" w:sz="0" w:space="0" w:color="auto"/>
      </w:divBdr>
    </w:div>
    <w:div w:id="1248728783">
      <w:bodyDiv w:val="1"/>
      <w:marLeft w:val="0"/>
      <w:marRight w:val="0"/>
      <w:marTop w:val="0"/>
      <w:marBottom w:val="0"/>
      <w:divBdr>
        <w:top w:val="none" w:sz="0" w:space="0" w:color="auto"/>
        <w:left w:val="none" w:sz="0" w:space="0" w:color="auto"/>
        <w:bottom w:val="none" w:sz="0" w:space="0" w:color="auto"/>
        <w:right w:val="none" w:sz="0" w:space="0" w:color="auto"/>
      </w:divBdr>
    </w:div>
    <w:div w:id="1257788527">
      <w:bodyDiv w:val="1"/>
      <w:marLeft w:val="0"/>
      <w:marRight w:val="0"/>
      <w:marTop w:val="0"/>
      <w:marBottom w:val="0"/>
      <w:divBdr>
        <w:top w:val="none" w:sz="0" w:space="0" w:color="auto"/>
        <w:left w:val="none" w:sz="0" w:space="0" w:color="auto"/>
        <w:bottom w:val="none" w:sz="0" w:space="0" w:color="auto"/>
        <w:right w:val="none" w:sz="0" w:space="0" w:color="auto"/>
      </w:divBdr>
    </w:div>
    <w:div w:id="1258948251">
      <w:bodyDiv w:val="1"/>
      <w:marLeft w:val="0"/>
      <w:marRight w:val="0"/>
      <w:marTop w:val="0"/>
      <w:marBottom w:val="0"/>
      <w:divBdr>
        <w:top w:val="none" w:sz="0" w:space="0" w:color="auto"/>
        <w:left w:val="none" w:sz="0" w:space="0" w:color="auto"/>
        <w:bottom w:val="none" w:sz="0" w:space="0" w:color="auto"/>
        <w:right w:val="none" w:sz="0" w:space="0" w:color="auto"/>
      </w:divBdr>
    </w:div>
    <w:div w:id="1278029054">
      <w:bodyDiv w:val="1"/>
      <w:marLeft w:val="0"/>
      <w:marRight w:val="0"/>
      <w:marTop w:val="0"/>
      <w:marBottom w:val="0"/>
      <w:divBdr>
        <w:top w:val="none" w:sz="0" w:space="0" w:color="auto"/>
        <w:left w:val="none" w:sz="0" w:space="0" w:color="auto"/>
        <w:bottom w:val="none" w:sz="0" w:space="0" w:color="auto"/>
        <w:right w:val="none" w:sz="0" w:space="0" w:color="auto"/>
      </w:divBdr>
    </w:div>
    <w:div w:id="1305962907">
      <w:bodyDiv w:val="1"/>
      <w:marLeft w:val="0"/>
      <w:marRight w:val="0"/>
      <w:marTop w:val="0"/>
      <w:marBottom w:val="0"/>
      <w:divBdr>
        <w:top w:val="none" w:sz="0" w:space="0" w:color="auto"/>
        <w:left w:val="none" w:sz="0" w:space="0" w:color="auto"/>
        <w:bottom w:val="none" w:sz="0" w:space="0" w:color="auto"/>
        <w:right w:val="none" w:sz="0" w:space="0" w:color="auto"/>
      </w:divBdr>
    </w:div>
    <w:div w:id="1308783164">
      <w:bodyDiv w:val="1"/>
      <w:marLeft w:val="0"/>
      <w:marRight w:val="0"/>
      <w:marTop w:val="0"/>
      <w:marBottom w:val="0"/>
      <w:divBdr>
        <w:top w:val="none" w:sz="0" w:space="0" w:color="auto"/>
        <w:left w:val="none" w:sz="0" w:space="0" w:color="auto"/>
        <w:bottom w:val="none" w:sz="0" w:space="0" w:color="auto"/>
        <w:right w:val="none" w:sz="0" w:space="0" w:color="auto"/>
      </w:divBdr>
    </w:div>
    <w:div w:id="1444039029">
      <w:bodyDiv w:val="1"/>
      <w:marLeft w:val="0"/>
      <w:marRight w:val="0"/>
      <w:marTop w:val="0"/>
      <w:marBottom w:val="0"/>
      <w:divBdr>
        <w:top w:val="none" w:sz="0" w:space="0" w:color="auto"/>
        <w:left w:val="none" w:sz="0" w:space="0" w:color="auto"/>
        <w:bottom w:val="none" w:sz="0" w:space="0" w:color="auto"/>
        <w:right w:val="none" w:sz="0" w:space="0" w:color="auto"/>
      </w:divBdr>
    </w:div>
    <w:div w:id="1482111680">
      <w:bodyDiv w:val="1"/>
      <w:marLeft w:val="0"/>
      <w:marRight w:val="0"/>
      <w:marTop w:val="0"/>
      <w:marBottom w:val="0"/>
      <w:divBdr>
        <w:top w:val="none" w:sz="0" w:space="0" w:color="auto"/>
        <w:left w:val="none" w:sz="0" w:space="0" w:color="auto"/>
        <w:bottom w:val="none" w:sz="0" w:space="0" w:color="auto"/>
        <w:right w:val="none" w:sz="0" w:space="0" w:color="auto"/>
      </w:divBdr>
    </w:div>
    <w:div w:id="1482379831">
      <w:bodyDiv w:val="1"/>
      <w:marLeft w:val="0"/>
      <w:marRight w:val="0"/>
      <w:marTop w:val="0"/>
      <w:marBottom w:val="0"/>
      <w:divBdr>
        <w:top w:val="none" w:sz="0" w:space="0" w:color="auto"/>
        <w:left w:val="none" w:sz="0" w:space="0" w:color="auto"/>
        <w:bottom w:val="none" w:sz="0" w:space="0" w:color="auto"/>
        <w:right w:val="none" w:sz="0" w:space="0" w:color="auto"/>
      </w:divBdr>
    </w:div>
    <w:div w:id="1551380674">
      <w:bodyDiv w:val="1"/>
      <w:marLeft w:val="0"/>
      <w:marRight w:val="0"/>
      <w:marTop w:val="0"/>
      <w:marBottom w:val="0"/>
      <w:divBdr>
        <w:top w:val="none" w:sz="0" w:space="0" w:color="auto"/>
        <w:left w:val="none" w:sz="0" w:space="0" w:color="auto"/>
        <w:bottom w:val="none" w:sz="0" w:space="0" w:color="auto"/>
        <w:right w:val="none" w:sz="0" w:space="0" w:color="auto"/>
      </w:divBdr>
    </w:div>
    <w:div w:id="1706518428">
      <w:bodyDiv w:val="1"/>
      <w:marLeft w:val="0"/>
      <w:marRight w:val="0"/>
      <w:marTop w:val="0"/>
      <w:marBottom w:val="0"/>
      <w:divBdr>
        <w:top w:val="none" w:sz="0" w:space="0" w:color="auto"/>
        <w:left w:val="none" w:sz="0" w:space="0" w:color="auto"/>
        <w:bottom w:val="none" w:sz="0" w:space="0" w:color="auto"/>
        <w:right w:val="none" w:sz="0" w:space="0" w:color="auto"/>
      </w:divBdr>
    </w:div>
    <w:div w:id="1783302649">
      <w:bodyDiv w:val="1"/>
      <w:marLeft w:val="0"/>
      <w:marRight w:val="0"/>
      <w:marTop w:val="0"/>
      <w:marBottom w:val="0"/>
      <w:divBdr>
        <w:top w:val="none" w:sz="0" w:space="0" w:color="auto"/>
        <w:left w:val="none" w:sz="0" w:space="0" w:color="auto"/>
        <w:bottom w:val="none" w:sz="0" w:space="0" w:color="auto"/>
        <w:right w:val="none" w:sz="0" w:space="0" w:color="auto"/>
      </w:divBdr>
    </w:div>
    <w:div w:id="1849444098">
      <w:bodyDiv w:val="1"/>
      <w:marLeft w:val="0"/>
      <w:marRight w:val="0"/>
      <w:marTop w:val="0"/>
      <w:marBottom w:val="0"/>
      <w:divBdr>
        <w:top w:val="none" w:sz="0" w:space="0" w:color="auto"/>
        <w:left w:val="none" w:sz="0" w:space="0" w:color="auto"/>
        <w:bottom w:val="none" w:sz="0" w:space="0" w:color="auto"/>
        <w:right w:val="none" w:sz="0" w:space="0" w:color="auto"/>
      </w:divBdr>
    </w:div>
    <w:div w:id="1867450831">
      <w:bodyDiv w:val="1"/>
      <w:marLeft w:val="0"/>
      <w:marRight w:val="0"/>
      <w:marTop w:val="0"/>
      <w:marBottom w:val="0"/>
      <w:divBdr>
        <w:top w:val="none" w:sz="0" w:space="0" w:color="auto"/>
        <w:left w:val="none" w:sz="0" w:space="0" w:color="auto"/>
        <w:bottom w:val="none" w:sz="0" w:space="0" w:color="auto"/>
        <w:right w:val="none" w:sz="0" w:space="0" w:color="auto"/>
      </w:divBdr>
    </w:div>
    <w:div w:id="1869369666">
      <w:bodyDiv w:val="1"/>
      <w:marLeft w:val="0"/>
      <w:marRight w:val="0"/>
      <w:marTop w:val="0"/>
      <w:marBottom w:val="0"/>
      <w:divBdr>
        <w:top w:val="none" w:sz="0" w:space="0" w:color="auto"/>
        <w:left w:val="none" w:sz="0" w:space="0" w:color="auto"/>
        <w:bottom w:val="none" w:sz="0" w:space="0" w:color="auto"/>
        <w:right w:val="none" w:sz="0" w:space="0" w:color="auto"/>
      </w:divBdr>
    </w:div>
    <w:div w:id="1869372499">
      <w:bodyDiv w:val="1"/>
      <w:marLeft w:val="0"/>
      <w:marRight w:val="0"/>
      <w:marTop w:val="0"/>
      <w:marBottom w:val="0"/>
      <w:divBdr>
        <w:top w:val="none" w:sz="0" w:space="0" w:color="auto"/>
        <w:left w:val="none" w:sz="0" w:space="0" w:color="auto"/>
        <w:bottom w:val="none" w:sz="0" w:space="0" w:color="auto"/>
        <w:right w:val="none" w:sz="0" w:space="0" w:color="auto"/>
      </w:divBdr>
    </w:div>
    <w:div w:id="210255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ayoclinic.org/tests-procedures/labor-induction/about/pac-20385141" TargetMode="External"/><Relationship Id="rId4" Type="http://schemas.openxmlformats.org/officeDocument/2006/relationships/hyperlink" Target="https://myhealth.alberta.ca/Health/Pages/conditions.aspx?hwid=hw1946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6</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PN</dc:creator>
  <cp:keywords/>
  <dc:description/>
  <cp:lastModifiedBy>Rachel PN</cp:lastModifiedBy>
  <cp:revision>68</cp:revision>
  <cp:lastPrinted>2021-02-21T19:30:00Z</cp:lastPrinted>
  <dcterms:created xsi:type="dcterms:W3CDTF">2021-02-08T17:22:00Z</dcterms:created>
  <dcterms:modified xsi:type="dcterms:W3CDTF">2021-02-22T02:23:00Z</dcterms:modified>
</cp:coreProperties>
</file>