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5A7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2026년 07월 03일 &lt;웹소설 계약 종류 및 조건 관련 메모&gt; (to. 최혜윤 팀장)</w:t>
      </w:r>
    </w:p>
    <w:p w14:paraId="2A99FA86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702CB85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1. 배타적 발행권(Exclusive Publication)</w:t>
      </w:r>
    </w:p>
    <w:p w14:paraId="7EA92E15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저작권법 제57조</w:t>
      </w:r>
    </w:p>
    <w:p w14:paraId="3B59D04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2011년 한미자유무역협정(FTA)의 국내이행을 위해 그해 12월 신설된 권리</w:t>
      </w:r>
    </w:p>
    <w:p w14:paraId="7F98A00A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준물권인 저작권을 저작물 이용자가 배타적으로 사용·수익·처분할 수 있도록 권리를 설정해주는 권리를 의미</w:t>
      </w:r>
    </w:p>
    <w:p w14:paraId="1D4094D3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4) 배타적발행권 설정에서 출판권 설정을 제외함으로써 배타적발행권과 출판권의 관계를 명확히 구분</w:t>
      </w:r>
    </w:p>
    <w:p w14:paraId="519A196D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5) 웹소설과 전자책 발행에 대한 권리로 이해</w:t>
      </w:r>
    </w:p>
    <w:p w14:paraId="1FCE3BF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6) 배타적 발행권에 따라, (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종이책</w:t>
      </w:r>
      <w:proofErr w:type="spellEnd"/>
      <w:r w:rsidRPr="00BC12B6">
        <w:rPr>
          <w:rFonts w:asciiTheme="minorEastAsia" w:hAnsiTheme="minorEastAsia"/>
          <w:sz w:val="20"/>
          <w:szCs w:val="20"/>
        </w:rPr>
        <w:t>) 출판은 2자적 저작물에 해당하여 별도 계약 필요</w:t>
      </w:r>
    </w:p>
    <w:p w14:paraId="45DF7CF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7) 오래 전에 발표된 작품의 경우, 배타적 발행권 계약이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아니라서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여러 출판사와 다중 계약된 사례 존재</w:t>
      </w:r>
    </w:p>
    <w:p w14:paraId="29CA3B2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4E4CAAE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2. 2차적 저작물</w:t>
      </w:r>
    </w:p>
    <w:p w14:paraId="6E442D7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원저작물을 번역·편곡·변형·각색·영상제작 그 밖의 방법으로 작성한 창작물</w:t>
      </w:r>
    </w:p>
    <w:p w14:paraId="48900844" w14:textId="23B1D565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원저작물의 저작자는 자신의 저작물을 원저작물로 하는 2차적저작물을 작성할 권리와 작성된 2차적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r w:rsidRPr="00BC12B6">
        <w:rPr>
          <w:rFonts w:asciiTheme="minorEastAsia" w:hAnsiTheme="minorEastAsia"/>
          <w:sz w:val="20"/>
          <w:szCs w:val="20"/>
        </w:rPr>
        <w:t>저작물을 이용할 권리를 가짐</w:t>
      </w:r>
    </w:p>
    <w:p w14:paraId="5899E5CE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배타적 발행권 계약 시, 관례 상 2차적 저작물에 대한 우선 협상권을 명시하는 경우가 다수</w:t>
      </w:r>
    </w:p>
    <w:p w14:paraId="2311E628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4) 우선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협상권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; 동일한 조건일 경우(또는 출판사 제시 조건 보다 낮을 경우), 해당 출판사에게 우선권 부여 </w:t>
      </w:r>
    </w:p>
    <w:p w14:paraId="00B7499A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5) 출판사에서 2차적 저작물을 제작하거나 해당 권리를 제3자에게 부여할 경우, 별도의 2차적 저작물 이용허락 계약 체결 필요 </w:t>
      </w:r>
    </w:p>
    <w:p w14:paraId="128F4DD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1EAA3A74" w14:textId="4CA6B02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3. 웹소설</w:t>
      </w:r>
      <w:r w:rsidR="005D5036">
        <w:rPr>
          <w:rFonts w:asciiTheme="minorEastAsia" w:hAnsiTheme="minorEastAsia" w:hint="eastAsia"/>
          <w:sz w:val="20"/>
          <w:szCs w:val="20"/>
        </w:rPr>
        <w:t xml:space="preserve"> </w:t>
      </w:r>
      <w:r w:rsidRPr="00BC12B6">
        <w:rPr>
          <w:rFonts w:asciiTheme="minorEastAsia" w:hAnsiTheme="minorEastAsia"/>
          <w:sz w:val="20"/>
          <w:szCs w:val="20"/>
        </w:rPr>
        <w:t>&lt;배타적 발행권 계약&gt; 형태</w:t>
      </w:r>
    </w:p>
    <w:p w14:paraId="03913119" w14:textId="0DE5F3C8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(저작권법 상) 작품별 계약을 원칙으로 하나, 실제 시장에서는 그렇지 못한 경우가 다수 존재</w:t>
      </w:r>
    </w:p>
    <w:p w14:paraId="741549B5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 대표적으로 아래와 같은 계약 유형이 존재</w:t>
      </w:r>
    </w:p>
    <w:p w14:paraId="6FB9A118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작품 계약; 작가 작품 1종 신간에 대한 계약</w:t>
      </w:r>
    </w:p>
    <w:p w14:paraId="3F66136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묶음 계약; 작가 작품 2종 이상 신간에 대한 계약</w:t>
      </w:r>
    </w:p>
    <w:p w14:paraId="4A0214E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작가 계약 (작가 전 작품에 대한 이관 및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차기작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계약)</w:t>
      </w:r>
    </w:p>
    <w:p w14:paraId="4CE7CEC2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73F3CC34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4. &lt;계약 관리&gt; 모듈 기획 관련 사전 지식</w:t>
      </w:r>
    </w:p>
    <w:p w14:paraId="6AEDDE06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수익 배분율에 대한 경우의 수</w:t>
      </w:r>
    </w:p>
    <w:p w14:paraId="426B853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모든 플랫폼의 수익 배분율이 동일한 경우</w:t>
      </w:r>
    </w:p>
    <w:p w14:paraId="31E169C4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작품 계약, 특정 플랫폼의 수익 배분율이 다른 경우 (ex.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문피아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90%, 그 외 70%와 같은 경우가 존재)</w:t>
      </w:r>
    </w:p>
    <w:p w14:paraId="2FA34A3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작품 계약, 매출 구간별로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정산률이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변경되는 경우가 존재 (일종의 러닝 개런티 개념)</w:t>
      </w:r>
    </w:p>
    <w:p w14:paraId="2661DFF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묶음 계약, 계약 작품 별 선인세와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정산률이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다른 경우 존재</w:t>
      </w:r>
    </w:p>
    <w:p w14:paraId="13D8E57D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작가 계약, (동일한 계약서 내용 상) 구작과 신작에 대한 작품별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정산률이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상이한 경우 존재 </w:t>
      </w:r>
    </w:p>
    <w:p w14:paraId="02E8A416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묶음 계약과 작가 계약의 경우, 하나의 계약서에 다중 작품이 매칭; 계약 관리 부분에서 해당 사항 고려 필요 (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아카이빙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관점)</w:t>
      </w:r>
    </w:p>
    <w:p w14:paraId="31EB91E5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동일 작품이라도 판매형태(B2C, B2B, B2BC 등)에 따라 상이한 경우 존재</w:t>
      </w:r>
    </w:p>
    <w:p w14:paraId="3548D6FC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정산의 기준이 되는 금액 정의가 상이할 수 있음;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총매출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,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순매출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등 (정산 기준 조건)</w:t>
      </w:r>
    </w:p>
    <w:p w14:paraId="466C5564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선급금이 있는 경우, 해당 금액을 차감한 이후 정산 진행 (선급금 차감 이후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정산률이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변경되는 경우 존재) </w:t>
      </w:r>
    </w:p>
    <w:p w14:paraId="4514C0FC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계약 기간</w:t>
      </w:r>
    </w:p>
    <w:p w14:paraId="483C4D5A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콘텐츠 계약서의 특성 상, 계약 체결일과 계약 발효일이 차이 발생</w:t>
      </w:r>
    </w:p>
    <w:p w14:paraId="4C704C5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(일반적으로) 연재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선출간의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경우, 완결 후 3년 + 단행본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선출간의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경우, 마지막권 출간 이후 3년</w:t>
      </w:r>
    </w:p>
    <w:p w14:paraId="0B2C7202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자동 연장 조항이 포함되는 경우가 다수</w:t>
      </w:r>
    </w:p>
    <w:p w14:paraId="431E5B24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lastRenderedPageBreak/>
        <w:t xml:space="preserve">  3) 계약금</w:t>
      </w:r>
    </w:p>
    <w:p w14:paraId="7E9B588E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계약 체결 의미로 출판사에서 작가에게 지급하는 금액</w:t>
      </w:r>
    </w:p>
    <w:p w14:paraId="28A12FAE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출간 여부 및 작품 매출 발생 유무와 무관하며, 정산 대상 금액 발생에 따른 차감 대상이 아님</w:t>
      </w:r>
    </w:p>
    <w:p w14:paraId="4AAEF5DC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정산 솔루션에서는 고려 항목이 아니지만, 전체적인 계약 관리 부분에서는 필요</w:t>
      </w:r>
    </w:p>
    <w:p w14:paraId="351AD5FC" w14:textId="31C0B87D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4) 선급금 (정산 대상 금액 발생 시, 선 차감을 진행하는 금액)</w:t>
      </w:r>
    </w:p>
    <w:p w14:paraId="618FEEF3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선인세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; 미래에 발생할 인세를 미리 지급하는 금액이기 때문에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미차감시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반환 이슈 발생</w:t>
      </w:r>
    </w:p>
    <w:p w14:paraId="69CEC847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MG(Minimum Guarantee) 최소 수익 보장 금액이기 때문에 반환 이슈 없음</w:t>
      </w:r>
    </w:p>
    <w:p w14:paraId="3CE62A2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64EB01C3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5. &lt;계약 관리&gt;에서 출판사 필수 입력 사항</w:t>
      </w:r>
    </w:p>
    <w:p w14:paraId="26AF8483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작품명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,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작가명</w:t>
      </w:r>
      <w:proofErr w:type="spellEnd"/>
      <w:r w:rsidRPr="00BC12B6">
        <w:rPr>
          <w:rFonts w:asciiTheme="minorEastAsia" w:hAnsiTheme="minorEastAsia"/>
          <w:sz w:val="20"/>
          <w:szCs w:val="20"/>
        </w:rPr>
        <w:t>, 브랜드(레이블)명, 정산 기준 조건(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총매출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,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순매출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등), 계약일</w:t>
      </w:r>
    </w:p>
    <w:p w14:paraId="367B53EE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계약 종료일의 경우, 웹소설 계약의 특성 상 추후 입력 필요(자동 연장 유무 포함)</w:t>
      </w:r>
    </w:p>
    <w:p w14:paraId="344FB01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</w:t>
      </w:r>
      <w:proofErr w:type="gramStart"/>
      <w:r w:rsidRPr="00BC12B6">
        <w:rPr>
          <w:rFonts w:asciiTheme="minorEastAsia" w:hAnsiTheme="minorEastAsia"/>
          <w:sz w:val="20"/>
          <w:szCs w:val="20"/>
        </w:rPr>
        <w:t>출판사 /</w:t>
      </w:r>
      <w:proofErr w:type="gramEnd"/>
      <w:r w:rsidRPr="00BC12B6">
        <w:rPr>
          <w:rFonts w:asciiTheme="minorEastAsia" w:hAnsiTheme="minorEastAsia"/>
          <w:sz w:val="20"/>
          <w:szCs w:val="20"/>
        </w:rPr>
        <w:t xml:space="preserve"> 작가 구분 필요 (출판사 사업자 등록 번호 기재 필요 - 사업자등록증 등록)</w:t>
      </w:r>
    </w:p>
    <w:p w14:paraId="7023725D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작가; </w:t>
      </w:r>
      <w:proofErr w:type="gramStart"/>
      <w:r w:rsidRPr="00BC12B6">
        <w:rPr>
          <w:rFonts w:asciiTheme="minorEastAsia" w:hAnsiTheme="minorEastAsia"/>
          <w:sz w:val="20"/>
          <w:szCs w:val="20"/>
        </w:rPr>
        <w:t>사업자 /</w:t>
      </w:r>
      <w:proofErr w:type="gramEnd"/>
      <w:r w:rsidRPr="00BC12B6">
        <w:rPr>
          <w:rFonts w:asciiTheme="minorEastAsia" w:hAnsiTheme="minorEastAsia"/>
          <w:sz w:val="20"/>
          <w:szCs w:val="20"/>
        </w:rPr>
        <w:t xml:space="preserve"> 개인 구분 필요 (사업자의 경우, 사업자 등록 번호 기재 필요)</w:t>
      </w:r>
    </w:p>
    <w:p w14:paraId="1AE75E56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작품별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</w:t>
      </w:r>
      <w:proofErr w:type="spellEnd"/>
    </w:p>
    <w:p w14:paraId="391AC928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B2C, B2BC, B2B</w:t>
      </w:r>
    </w:p>
    <w:p w14:paraId="53A3DB0C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예외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(특정 플랫폼이 다른 경우와 매출 구간 별로 다른 경우에 대한 고려 필요)</w:t>
      </w:r>
    </w:p>
    <w:p w14:paraId="50173B3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선인세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(또는 MG)</w:t>
      </w:r>
    </w:p>
    <w:p w14:paraId="2646ACD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작품 선인세와 작가 선인세에 대한 고려 필요</w:t>
      </w:r>
    </w:p>
    <w:p w14:paraId="0062102D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작품 선인세는 해당 작품에 대한 정산 대상 금액으로 차감</w:t>
      </w:r>
    </w:p>
    <w:p w14:paraId="4D132DD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작가 선인세의 경우, 대상 작품을 묶어서 정산 대상 금액을 합하여 차감</w:t>
      </w:r>
    </w:p>
    <w:p w14:paraId="73D18FDA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동일 작가라 하더라도, 작품 선인세와 작가 선인세가 동시에 진행되는 경우가 있음</w:t>
      </w:r>
    </w:p>
    <w:p w14:paraId="4988A01F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정산처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정보 (예금주,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은행명</w:t>
      </w:r>
      <w:proofErr w:type="spellEnd"/>
      <w:r w:rsidRPr="00BC12B6">
        <w:rPr>
          <w:rFonts w:asciiTheme="minorEastAsia" w:hAnsiTheme="minorEastAsia"/>
          <w:sz w:val="20"/>
          <w:szCs w:val="20"/>
        </w:rPr>
        <w:t>, 계좌번호 등)</w:t>
      </w:r>
    </w:p>
    <w:p w14:paraId="19739DE8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4) 자동 부여 고려 항목</w:t>
      </w:r>
    </w:p>
    <w:p w14:paraId="037D7C3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정산 코드, 등록일</w:t>
      </w:r>
    </w:p>
    <w:p w14:paraId="00120C0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5) 기타</w:t>
      </w:r>
    </w:p>
    <w:p w14:paraId="38F5EB36" w14:textId="20235B20" w:rsidR="00A6121A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출판사/작가의 ID/PW 관리(사용자 관리); 이후 확장성을 위해 별도 모듈로 구분을 고려해야 할</w:t>
      </w:r>
      <w:r w:rsidR="00A6211B">
        <w:rPr>
          <w:rFonts w:asciiTheme="minorEastAsia" w:hAnsiTheme="minorEastAsia" w:hint="eastAsia"/>
          <w:sz w:val="20"/>
          <w:szCs w:val="20"/>
        </w:rPr>
        <w:t xml:space="preserve"> </w:t>
      </w:r>
      <w:r w:rsidRPr="00BC12B6">
        <w:rPr>
          <w:rFonts w:asciiTheme="minorEastAsia" w:hAnsiTheme="minorEastAsia"/>
          <w:sz w:val="20"/>
          <w:szCs w:val="20"/>
        </w:rPr>
        <w:t>수도...</w:t>
      </w:r>
    </w:p>
    <w:sectPr w:rsidR="00A6121A" w:rsidRPr="00BC12B6" w:rsidSect="00BC12B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DC2D7" w14:textId="77777777" w:rsidR="00C06E46" w:rsidRDefault="00C06E46" w:rsidP="00956E23">
      <w:pPr>
        <w:spacing w:after="0"/>
      </w:pPr>
      <w:r>
        <w:separator/>
      </w:r>
    </w:p>
  </w:endnote>
  <w:endnote w:type="continuationSeparator" w:id="0">
    <w:p w14:paraId="541949FB" w14:textId="77777777" w:rsidR="00C06E46" w:rsidRDefault="00C06E46" w:rsidP="00956E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1D9BB" w14:textId="77777777" w:rsidR="00C06E46" w:rsidRDefault="00C06E46" w:rsidP="00956E23">
      <w:pPr>
        <w:spacing w:after="0"/>
      </w:pPr>
      <w:r>
        <w:separator/>
      </w:r>
    </w:p>
  </w:footnote>
  <w:footnote w:type="continuationSeparator" w:id="0">
    <w:p w14:paraId="5D1A2C34" w14:textId="77777777" w:rsidR="00C06E46" w:rsidRDefault="00C06E46" w:rsidP="00956E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B6"/>
    <w:rsid w:val="005D5036"/>
    <w:rsid w:val="00956E23"/>
    <w:rsid w:val="00A6121A"/>
    <w:rsid w:val="00A6211B"/>
    <w:rsid w:val="00B13F36"/>
    <w:rsid w:val="00BC12B6"/>
    <w:rsid w:val="00C06E46"/>
    <w:rsid w:val="00DD1807"/>
    <w:rsid w:val="00F7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97787"/>
  <w15:chartTrackingRefBased/>
  <w15:docId w15:val="{3ECD6139-D4C6-462E-A74E-F05DAD80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12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12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12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12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12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12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12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12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12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12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12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12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12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1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1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1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12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1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12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12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56E2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56E23"/>
  </w:style>
  <w:style w:type="paragraph" w:styleId="ab">
    <w:name w:val="footer"/>
    <w:basedOn w:val="a"/>
    <w:link w:val="Char4"/>
    <w:uiPriority w:val="99"/>
    <w:unhideWhenUsed/>
    <w:rsid w:val="00956E2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56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형선 정</dc:creator>
  <cp:keywords/>
  <dc:description/>
  <cp:lastModifiedBy>형선 정</cp:lastModifiedBy>
  <cp:revision>4</cp:revision>
  <dcterms:created xsi:type="dcterms:W3CDTF">2026-07-03T05:12:00Z</dcterms:created>
  <dcterms:modified xsi:type="dcterms:W3CDTF">2026-07-14T01:58:00Z</dcterms:modified>
</cp:coreProperties>
</file>