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rFonts w:ascii="맑은 고딕" w:hAnsi="맑은 고딕" w:eastAsia="맑은 고딕"/>
          <w:b w:val="0"/>
          <w:color w:val="565656"/>
          <w:sz w:val="17"/>
        </w:rPr>
        <w:t>문서번호 : PVH-2026-001    발급일 : 2026. 07.</w:t>
      </w:r>
    </w:p>
    <w:p>
      <w:pPr>
        <w:spacing w:before="0" w:after="40"/>
        <w:jc w:val="center"/>
      </w:pPr>
      <w:r>
        <w:rPr>
          <w:rFonts w:ascii="맑은 고딕" w:hAnsi="맑은 고딕" w:eastAsia="맑은 고딕"/>
          <w:b w:val="0"/>
          <w:color w:val="565656"/>
          <w:sz w:val="17"/>
        </w:rPr>
        <w:t>2026년 출판콘텐츠 기술개발 지원 사업 · 자유과제 · 제출서류 ③ 기술수준 증빙 (첨부 ⑥)</w:t>
      </w:r>
    </w:p>
    <w:p>
      <w:pPr>
        <w:spacing w:before="0" w:after="20"/>
        <w:jc w:val="center"/>
      </w:pPr>
      <w:r>
        <w:rPr>
          <w:rFonts w:ascii="맑은 고딕" w:hAnsi="맑은 고딕" w:eastAsia="맑은 고딕"/>
          <w:b/>
          <w:color w:val="161616"/>
          <w:sz w:val="38"/>
        </w:rPr>
        <w:t>정산서 파서 구현 버전 히스토리</w:t>
      </w:r>
    </w:p>
    <w:p>
      <w:pPr>
        <w:spacing w:before="0" w:after="60"/>
        <w:jc w:val="center"/>
      </w:pPr>
      <w:r>
        <w:rPr>
          <w:rFonts w:ascii="맑은 고딕" w:hAnsi="맑은 고딕" w:eastAsia="맑은 고딕"/>
          <w:b w:val="0"/>
          <w:color w:val="565656"/>
          <w:sz w:val="19"/>
        </w:rPr>
        <w:t>유통사 정산서 표준화 파서·산식의 버전별 기능 추가 이력</w:t>
      </w:r>
    </w:p>
    <w:p>
      <w:pPr>
        <w:spacing w:after="120"/>
        <w:pBdr>
          <w:bottom w:val="single" w:sz="18" w:space="1" w:color="111111"/>
        </w:pBdr>
      </w:pPr>
    </w:p>
    <w:p>
      <w:pPr>
        <w:spacing w:before="220" w:after="80"/>
        <w:pBdr>
          <w:bottom w:val="single" w:sz="10" w:space="3" w:color="111111"/>
        </w:pBdr>
      </w:pPr>
      <w:r>
        <w:rPr>
          <w:rFonts w:ascii="맑은 고딕" w:hAnsi="맑은 고딕" w:eastAsia="맑은 고딕"/>
          <w:b/>
          <w:color w:val="161616"/>
          <w:sz w:val="22"/>
        </w:rPr>
        <w:t>1. 파서 공통 구조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28"/>
            <w:vAlign w:val="center"/>
            <w:shd w:val="clear" w:fill="ECECEC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처리 단계</w:t>
            </w:r>
          </w:p>
        </w:tc>
        <w:tc>
          <w:tcPr>
            <w:tcW w:type="dxa" w:w="7937"/>
            <w:vAlign w:val="center"/>
            <w:shd w:val="clear" w:fill="ECECEC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방식</w:t>
            </w:r>
          </w:p>
        </w:tc>
      </w:tr>
      <w:tr>
        <w:tc>
          <w:tcPr>
            <w:tcW w:type="dxa" w:w="1928"/>
            <w:vAlign w:val="center"/>
            <w:shd w:val="clear" w:fill="ECECEC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형식 판별</w:t>
            </w:r>
          </w:p>
        </w:tc>
        <w:tc>
          <w:tcPr>
            <w:tcW w:type="dxa" w:w="7937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매직바이트 기반 실형식 판별 (HTML 위장 .xls · 깨진 xlsx · cp949 · zip 등 확장자 무관)</w:t>
            </w:r>
          </w:p>
        </w:tc>
      </w:tr>
      <w:tr>
        <w:tc>
          <w:tcPr>
            <w:tcW w:type="dxa" w:w="1928"/>
            <w:vAlign w:val="center"/>
            <w:shd w:val="clear" w:fill="ECECEC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플랫폼 매칭</w:t>
            </w:r>
          </w:p>
        </w:tc>
        <w:tc>
          <w:tcPr>
            <w:tcW w:type="dxa" w:w="7937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파일명 정규식으로 파서 스펙 선택</w:t>
            </w:r>
          </w:p>
        </w:tc>
      </w:tr>
      <w:tr>
        <w:tc>
          <w:tcPr>
            <w:tcW w:type="dxa" w:w="1928"/>
            <w:vAlign w:val="center"/>
            <w:shd w:val="clear" w:fill="ECECEC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헤더 탐지</w:t>
            </w:r>
          </w:p>
        </w:tc>
        <w:tc>
          <w:tcPr>
            <w:tcW w:type="dxa" w:w="7937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고정행 지정 또는 토큰 자동탐지, 그룹 헤더 평탄화</w:t>
            </w:r>
          </w:p>
        </w:tc>
      </w:tr>
      <w:tr>
        <w:tc>
          <w:tcPr>
            <w:tcW w:type="dxa" w:w="1928"/>
            <w:vAlign w:val="center"/>
            <w:shd w:val="clear" w:fill="ECECEC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컬럼 매핑</w:t>
            </w:r>
          </w:p>
        </w:tc>
        <w:tc>
          <w:tcPr>
            <w:tcW w:type="dxa" w:w="7937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표준 필드(title·author·label·gross·settle·book_type)에 후보 컬럼명 이름 기준 매핑 (위치 불변 미가정)</w:t>
            </w:r>
          </w:p>
        </w:tc>
      </w:tr>
      <w:tr>
        <w:tc>
          <w:tcPr>
            <w:tcW w:type="dxa" w:w="1928"/>
            <w:vAlign w:val="center"/>
            <w:shd w:val="clear" w:fill="ECECEC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산식</w:t>
            </w:r>
          </w:p>
        </w:tc>
        <w:tc>
          <w:tcPr>
            <w:tcW w:type="dxa" w:w="7937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매출·정산액 미제공 플랫폼 계산, 제공값/계산값 구분(basis)</w:t>
            </w:r>
          </w:p>
        </w:tc>
      </w:tr>
      <w:tr>
        <w:tc>
          <w:tcPr>
            <w:tcW w:type="dxa" w:w="1928"/>
            <w:vAlign w:val="center"/>
            <w:shd w:val="clear" w:fill="ECECEC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검증</w:t>
            </w:r>
          </w:p>
        </w:tc>
        <w:tc>
          <w:tcPr>
            <w:tcW w:type="dxa" w:w="7937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플랫폼 제공 합계행과 자동 대사 (±1원 이내 PASS)</w:t>
            </w:r>
          </w:p>
        </w:tc>
      </w:tr>
    </w:tbl>
    <w:p>
      <w:pPr>
        <w:spacing w:before="220" w:after="80"/>
        <w:pBdr>
          <w:bottom w:val="single" w:sz="10" w:space="3" w:color="111111"/>
        </w:pBdr>
      </w:pPr>
      <w:r>
        <w:rPr>
          <w:rFonts w:ascii="맑은 고딕" w:hAnsi="맑은 고딕" w:eastAsia="맑은 고딕"/>
          <w:b/>
          <w:color w:val="161616"/>
          <w:sz w:val="22"/>
        </w:rPr>
        <w:t>2. 버전별 기능 추가 이력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74"/>
            <w:vAlign w:val="center"/>
            <w:shd w:val="clear" w:fill="ECECEC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버전 · 시기</w:t>
            </w:r>
          </w:p>
        </w:tc>
        <w:tc>
          <w:tcPr>
            <w:tcW w:type="dxa" w:w="6236"/>
            <w:vAlign w:val="center"/>
            <w:shd w:val="clear" w:fill="ECECEC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주요 추가·변경 기능</w:t>
            </w:r>
          </w:p>
        </w:tc>
        <w:tc>
          <w:tcPr>
            <w:tcW w:type="dxa" w:w="2154"/>
            <w:vAlign w:val="center"/>
            <w:shd w:val="clear" w:fill="ECECEC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검증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v1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2026-06</w:t>
            </w:r>
          </w:p>
        </w:tc>
        <w:tc>
          <w:tcPr>
            <w:tcW w:type="dxa" w:w="6236"/>
            <w:vAlign w:val="top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· 초기 표준화 파서 구축 (유통사 25종 컬럼 → 표준 항목 매핑)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· 비정형 파일 처리 : HTML 위장 .xls 16종, 깨진 xlsx(북큐브·애니툰), cp949, zip(리디)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· 미제공 플랫폼 산식 도입 (네이버·미스터블루·리디·조아라·블라이스)</w:t>
            </w:r>
          </w:p>
        </w:tc>
        <w:tc>
          <w:tcPr>
            <w:tcW w:type="dxa" w:w="2154"/>
            <w:vAlign w:val="top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2·3월 합계행 40파일 전수 일치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v2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2026-06</w:t>
            </w:r>
          </w:p>
        </w:tc>
        <w:tc>
          <w:tcPr>
            <w:tcW w:type="dxa" w:w="6236"/>
            <w:vAlign w:val="top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· 교보문고·모픽 파서 신규 (교보 = B2B 기관납품, ISBN·공급사 보유)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· 노벨피아 detail 양식, 원스토어·로망띠끄·알라딘 B2B 명명 수용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· 예스24(총정산액÷0.7 역산)·판무림(판매금액×0.7) 산식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· 작가 정규화 강화 (한자·영문 병기 통합)</w:t>
            </w:r>
          </w:p>
        </w:tc>
        <w:tc>
          <w:tcPr>
            <w:tcW w:type="dxa" w:w="2154"/>
            <w:vAlign w:val="top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1~4월 431,296행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대사 86 PASS / 0 FAIL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완전매칭 99.5%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v2.1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2026-07</w:t>
            </w:r>
          </w:p>
        </w:tc>
        <w:tc>
          <w:tcPr>
            <w:tcW w:type="dxa" w:w="6236"/>
            <w:vAlign w:val="top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· 예스24 신양식 3종(B2B·B2C·연재) 신규, 파일명 접두 매칭 (정산액 직접 제공 → 역산 폐기)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· 카카오페이지 헤더 자동탐지로 구·신 양식 통합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· 네이버시리즈·미스터블루 일매출(일별) 스펙 신규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· 로망띠끄 명명 확장, 노벨피아 일별 판매형 매칭</w:t>
            </w:r>
          </w:p>
        </w:tc>
        <w:tc>
          <w:tcPr>
            <w:tcW w:type="dxa" w:w="2154"/>
            <w:vAlign w:val="top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11~12월 163파일 파싱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대사 31 PASS / 0 FAIL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1~4월 회귀 431,296행·86 PASS 불변</w:t>
            </w:r>
          </w:p>
        </w:tc>
      </w:tr>
    </w:tbl>
    <w:p>
      <w:pPr>
        <w:spacing w:before="220" w:after="80"/>
        <w:pBdr>
          <w:bottom w:val="single" w:sz="10" w:space="3" w:color="111111"/>
        </w:pBdr>
      </w:pPr>
      <w:r>
        <w:rPr>
          <w:rFonts w:ascii="맑은 고딕" w:hAnsi="맑은 고딕" w:eastAsia="맑은 고딕"/>
          <w:b/>
          <w:color w:val="161616"/>
          <w:sz w:val="22"/>
        </w:rPr>
        <w:t>3. v2.1 플랫폼별 양식 변경 대응 상세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val="clear" w:fill="ECECEC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플랫폼</w:t>
            </w:r>
          </w:p>
        </w:tc>
        <w:tc>
          <w:tcPr>
            <w:tcW w:type="dxa" w:w="4082"/>
            <w:vAlign w:val="center"/>
            <w:shd w:val="clear" w:fill="ECECEC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양식 변경</w:t>
            </w:r>
          </w:p>
        </w:tc>
        <w:tc>
          <w:tcPr>
            <w:tcW w:type="dxa" w:w="4082"/>
            <w:vAlign w:val="center"/>
            <w:shd w:val="clear" w:fill="ECECEC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대응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예스24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1종 → 3종 신양식(B2B·B2C·연재)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3종 스펙 신규 + 파일명 접두 매칭, 정산액 직접 제공(산식 폐기·구양식 폴백)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카카오페이지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구양식 헤더 6~7행 (1~4월은 1~2행)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고정행 → 토큰 자동탐지로 구·신 통합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네이버시리즈·미스터블루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월정산서 → 일매출(일별) 제공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일별 스펙 신규, 정산액 직접 제공(월 집계 전제)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로망띠끄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명명 (로망띠끄 N월 1/2)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매칭 확장(1=단행본/전자책, 2=연재)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노벨피아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일별 판매형(상품명·판매합계·정산금액)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6"/>
              </w:rPr>
              <w:t>detail 매칭에 일별 포함</w:t>
            </w:r>
          </w:p>
        </w:tc>
      </w:tr>
    </w:tbl>
    <w:p>
      <w:pPr>
        <w:spacing w:before="220" w:after="80"/>
        <w:pBdr>
          <w:bottom w:val="single" w:sz="10" w:space="3" w:color="111111"/>
        </w:pBdr>
      </w:pPr>
      <w:r>
        <w:rPr>
          <w:rFonts w:ascii="맑은 고딕" w:hAnsi="맑은 고딕" w:eastAsia="맑은 고딕"/>
          <w:b/>
          <w:color w:val="161616"/>
          <w:sz w:val="22"/>
        </w:rPr>
        <w:t>4. 산식(계산값) 이력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608"/>
            <w:vAlign w:val="center"/>
            <w:shd w:val="clear" w:fill="ECECEC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플랫폼</w:t>
            </w:r>
          </w:p>
        </w:tc>
        <w:tc>
          <w:tcPr>
            <w:tcW w:type="dxa" w:w="6009"/>
            <w:vAlign w:val="center"/>
            <w:shd w:val="clear" w:fill="ECECEC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산식</w:t>
            </w:r>
          </w:p>
        </w:tc>
        <w:tc>
          <w:tcPr>
            <w:tcW w:type="dxa" w:w="1247"/>
            <w:vAlign w:val="center"/>
            <w:shd w:val="clear" w:fill="ECECEC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도입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네이버시리즈</w:t>
            </w:r>
          </w:p>
        </w:tc>
        <w:tc>
          <w:tcPr>
            <w:tcW w:type="dxa" w:w="6009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(합계 − 마켓수수료추정) × 0.7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61616"/>
                <w:sz w:val="18"/>
              </w:rPr>
              <w:t>v1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미스터블루</w:t>
            </w:r>
          </w:p>
        </w:tc>
        <w:tc>
          <w:tcPr>
            <w:tcW w:type="dxa" w:w="6009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판매유형별 정산액 합산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61616"/>
                <w:sz w:val="18"/>
              </w:rPr>
              <w:t>v1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리디</w:t>
            </w:r>
          </w:p>
        </w:tc>
        <w:tc>
          <w:tcPr>
            <w:tcW w:type="dxa" w:w="6009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매출 = 판매액 + 취소액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61616"/>
                <w:sz w:val="18"/>
              </w:rPr>
              <w:t>v1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예스24 (구양식)</w:t>
            </w:r>
          </w:p>
        </w:tc>
        <w:tc>
          <w:tcPr>
            <w:tcW w:type="dxa" w:w="6009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매출 = 총정산액 ÷ 0.7 (역산)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61616"/>
                <w:sz w:val="18"/>
              </w:rPr>
              <w:t>v2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판무림</w:t>
            </w:r>
          </w:p>
        </w:tc>
        <w:tc>
          <w:tcPr>
            <w:tcW w:type="dxa" w:w="6009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정산액 = 판매금액 × 0.7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61616"/>
                <w:sz w:val="18"/>
              </w:rPr>
              <w:t>v2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예스24 (신 3종)</w:t>
            </w:r>
          </w:p>
        </w:tc>
        <w:tc>
          <w:tcPr>
            <w:tcW w:type="dxa" w:w="6009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정산액 직접 제공 (산식 불요)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61616"/>
                <w:sz w:val="18"/>
              </w:rPr>
              <w:t>v2.1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네이버·미스터블루 일매출</w:t>
            </w:r>
          </w:p>
        </w:tc>
        <w:tc>
          <w:tcPr>
            <w:tcW w:type="dxa" w:w="6009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7"/>
              </w:rPr>
              <w:t>정산액 직접 제공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88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61616"/>
                <w:sz w:val="18"/>
              </w:rPr>
              <w:t>v2.1</w:t>
            </w:r>
          </w:p>
        </w:tc>
      </w:tr>
    </w:tbl>
    <w:p>
      <w:pPr>
        <w:spacing w:before="220" w:after="80"/>
        <w:pBdr>
          <w:bottom w:val="single" w:sz="10" w:space="3" w:color="111111"/>
        </w:pBdr>
      </w:pPr>
      <w:r>
        <w:rPr>
          <w:rFonts w:ascii="맑은 고딕" w:hAnsi="맑은 고딕" w:eastAsia="맑은 고딕"/>
          <w:b/>
          <w:color w:val="161616"/>
          <w:sz w:val="22"/>
        </w:rPr>
        <w:t>5. 커버리지 요약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val="clear" w:fill="ECECEC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구분</w:t>
            </w:r>
          </w:p>
        </w:tc>
        <w:tc>
          <w:tcPr>
            <w:tcW w:type="dxa" w:w="7597"/>
            <w:vAlign w:val="center"/>
            <w:shd w:val="clear" w:fill="ECECEC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  <w:shd w:val="clear" w:fill="ECECEC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파서 스펙</w:t>
            </w:r>
          </w:p>
        </w:tc>
        <w:tc>
          <w:tcPr>
            <w:tcW w:type="dxa" w:w="7597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8"/>
              </w:rPr>
              <w:t>37종</w:t>
            </w:r>
          </w:p>
        </w:tc>
      </w:tr>
      <w:tr>
        <w:tc>
          <w:tcPr>
            <w:tcW w:type="dxa" w:w="2268"/>
            <w:vAlign w:val="center"/>
            <w:shd w:val="clear" w:fill="ECECEC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유통 플랫폼</w:t>
            </w:r>
          </w:p>
        </w:tc>
        <w:tc>
          <w:tcPr>
            <w:tcW w:type="dxa" w:w="7597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8"/>
              </w:rPr>
              <w:t>31개 이상</w:t>
            </w:r>
          </w:p>
        </w:tc>
      </w:tr>
      <w:tr>
        <w:tc>
          <w:tcPr>
            <w:tcW w:type="dxa" w:w="2268"/>
            <w:vAlign w:val="center"/>
            <w:shd w:val="clear" w:fill="ECECEC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처리·검증 (1~4월)</w:t>
            </w:r>
          </w:p>
        </w:tc>
        <w:tc>
          <w:tcPr>
            <w:tcW w:type="dxa" w:w="7597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8"/>
              </w:rPr>
              <w:t>431,296행 · 합계 대사 86 PASS / 0 FAIL</w:t>
            </w:r>
          </w:p>
        </w:tc>
      </w:tr>
      <w:tr>
        <w:tc>
          <w:tcPr>
            <w:tcW w:type="dxa" w:w="2268"/>
            <w:vAlign w:val="center"/>
            <w:shd w:val="clear" w:fill="ECECEC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/>
                <w:color w:val="161616"/>
                <w:sz w:val="18"/>
              </w:rPr>
              <w:t>처리·검증 (11~12월)</w:t>
            </w:r>
          </w:p>
        </w:tc>
        <w:tc>
          <w:tcPr>
            <w:tcW w:type="dxa" w:w="7597"/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61616"/>
                <w:sz w:val="18"/>
              </w:rPr>
              <w:t>163파일 · 합계 대사 31 PASS / 0 FAIL</w:t>
            </w:r>
          </w:p>
        </w:tc>
      </w:tr>
    </w:tbl>
    <w:p>
      <w:pPr>
        <w:spacing w:before="180" w:after="0"/>
      </w:pPr>
      <w:r>
        <w:rPr>
          <w:rFonts w:ascii="맑은 고딕" w:hAnsi="맑은 고딕" w:eastAsia="맑은 고딕"/>
          <w:b w:val="0"/>
          <w:color w:val="7A7A7A"/>
          <w:sz w:val="16"/>
        </w:rPr>
        <w:t>파서는 파일명 정규식 매칭 · 헤더 자동탐지 · 이름 기준 컬럼 매핑 · 합계행 대사의 4중 구조로 구성되며, 데이터 추가 시 1~4월 회귀검증(무변경)을 통과시킨 뒤 반영함.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0" w:lineRule="auto"/>
    </w:pPr>
    <w:rPr>
      <w:rFonts w:ascii="맑은 고딕" w:hAnsi="맑은 고딕" w:eastAsia="맑은 고딕"/>
      <w:color w:val="16161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