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color w:val="565656"/>
          <w:sz w:val="17"/>
        </w:rPr>
        <w:t>문서번호 : SCR-2026-001    발급일 : 2026. 07.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65656"/>
          <w:sz w:val="17"/>
        </w:rPr>
        <w:t>2026년 출판콘텐츠 기술개발 지원 사업 · 자유과제 · 제출서류 ③ 기술수준 증빙 (첨부 ⑤)</w:t>
      </w:r>
    </w:p>
    <w:p>
      <w:pPr>
        <w:jc w:val="center"/>
      </w:pPr>
      <w:r>
        <w:rPr>
          <w:rFonts w:ascii="맑은 고딕" w:hAnsi="맑은 고딕" w:eastAsia="맑은 고딕"/>
          <w:b/>
          <w:color w:val="161616"/>
          <w:sz w:val="36"/>
        </w:rPr>
        <w:t>시작품 화면 캡처 모음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65656"/>
          <w:sz w:val="18"/>
        </w:rPr>
        <w:t>배포 운영 중인 실험실 시작품의 실제 운영 화면 (유통 플랫폼 31개 · 431,296행 실데이터)</w:t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01. 정산 요약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678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정산요약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6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02. 통계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0485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통계분석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48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03. 유통사별 정산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998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유통사별정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9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04. 작가별 정산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9683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작가별정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6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05. 작품별 정산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6893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작품별정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8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06. 작가·작품 통합 검색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1437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통합검색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43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07. 미매칭 보드 — AI 제안·외부 DB 조회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9740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미매칭보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74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08. 미매칭 보드 — 단서 없는 단독작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030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미매칭 보드_단서없음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0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09. 미매칭 결정 이력 — 감사 추적·복원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6478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미매칭 결정 히스토리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47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10. 연구소 E1 — 동명이작 과병합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9166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1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11. 연구소 E3 — 레이블 표기변형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9864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86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12. 연구소 E4 — backfill 오귀속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0042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4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13. 연구소 E5 — 번들/구독 오분류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5561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56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14. 연구소 E6 — 단행본/연재 오판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0006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0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15. 연구소 E7 — 권/회차 과분리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9934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93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16. 연구소 E8 — 합계 검증 사각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5086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17. 연구소 E9 — 정산액 추정오차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88068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연구소_E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8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맑은 고딕" w:hAnsi="맑은 고딕" w:eastAsia="맑은 고딕"/>
          <w:b/>
          <w:color w:val="161616"/>
          <w:sz w:val="20"/>
        </w:rPr>
        <w:t>화면 18. 정산서 업로드 — 표준화 파이프라인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8308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정산서 업로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308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