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t>정산 표준화 솔루션</w:t>
      </w:r>
      <w:r>
        <w:rPr>
          <w:rFonts w:ascii="맑은 고딕" w:hAnsi="맑은 고딕" w:eastAsia="맑은 고딕"/>
        </w:rPr>
      </w:r>
    </w:p>
    <w:p>
      <w:pPr>
        <w:pStyle w:val="Heading1"/>
      </w:pPr>
      <w:r>
        <w:rPr>
          <w:rFonts w:ascii="맑은 고딕" w:hAnsi="맑은 고딕" w:eastAsia="맑은 고딕"/>
        </w:rPr>
        <w:t>정산 표준화 솔루션 고도화 보고서</w:t>
      </w:r>
      <w:r>
        <w:rPr>
          <w:rFonts w:ascii="맑은 고딕" w:hAnsi="맑은 고딕" w:eastAsia="맑은 고딕"/>
        </w:rPr>
      </w:r>
      <w:r>
        <w:rPr>
          <w:rFonts w:ascii="맑은 고딕" w:hAnsi="맑은 고딕" w:eastAsia="맑은 고딕"/>
        </w:rPr>
        <w:t>신규 데이터 반영 및 매칭 정확도 개선 연구 체계 구축 (v1 → v2)</w:t>
      </w:r>
      <w:r>
        <w:rPr>
          <w:rFonts w:ascii="맑은 고딕" w:hAnsi="맑은 고딕" w:eastAsia="맑은 고딕"/>
        </w:rPr>
      </w:r>
      <w:r>
        <w:rPr>
          <w:rFonts w:ascii="맑은 고딕" w:hAnsi="맑은 고딕" w:eastAsia="맑은 고딕"/>
        </w:rPr>
      </w:r>
    </w:p>
    <w:tbl>
      <w:tblPr>
        <w:tblStyle w:val="TableGrid"/>
        <w:tblW w:type="auto" w:w="0"/>
        <w:tblLook w:firstColumn="1" w:firstRow="1" w:lastColumn="0" w:lastRow="0" w:noHBand="0" w:noVBand="1" w:val="04A0"/>
      </w:tblPr>
      <w:tblGrid>
        <w:gridCol w:w="4320"/>
        <w:gridCol w:w="4320"/>
      </w:tblGrid>
      <w:tr>
        <w:tc>
          <w:tcPr>
            <w:tcW w:type="dxa" w:w="4320"/>
            <w:shd w:val="clear" w:fill="ECECEC"/>
          </w:tcPr>
          <w:p>
            <w:r>
              <w:rPr>
                <w:rFonts w:ascii="맑은 고딕" w:hAnsi="맑은 고딕" w:eastAsia="맑은 고딕"/>
                <w:b/>
                <w:sz w:val="17"/>
              </w:rPr>
              <w:t>작성일</w:t>
            </w:r>
          </w:p>
        </w:tc>
        <w:tc>
          <w:tcPr>
            <w:tcW w:type="dxa" w:w="4320"/>
            <w:shd w:val="clear" w:fill="ECECEC"/>
          </w:tcPr>
          <w:p>
            <w:r>
              <w:rPr>
                <w:rFonts w:ascii="맑은 고딕" w:hAnsi="맑은 고딕" w:eastAsia="맑은 고딕"/>
                <w:b/>
                <w:sz w:val="17"/>
              </w:rPr>
              <w:t>2026년 6월 23일</w:t>
            </w:r>
          </w:p>
        </w:tc>
      </w:tr>
      <w:tr>
        <w:tc>
          <w:tcPr>
            <w:tcW w:type="dxa" w:w="4320"/>
          </w:tcPr>
          <w:p>
            <w:r>
              <w:rPr>
                <w:rFonts w:ascii="맑은 고딕" w:hAnsi="맑은 고딕" w:eastAsia="맑은 고딕"/>
                <w:sz w:val="17"/>
              </w:rPr>
              <w:t>작성자</w:t>
            </w:r>
          </w:p>
        </w:tc>
        <w:tc>
          <w:tcPr>
            <w:tcW w:type="dxa" w:w="4320"/>
          </w:tcPr>
          <w:p>
            <w:r>
              <w:rPr>
                <w:rFonts w:ascii="맑은 고딕" w:hAnsi="맑은 고딕" w:eastAsia="맑은 고딕"/>
                <w:sz w:val="17"/>
              </w:rPr>
              <w:t>최혜윤 (기획·PO 총괄)</w:t>
            </w:r>
          </w:p>
        </w:tc>
      </w:tr>
      <w:tr>
        <w:tc>
          <w:tcPr>
            <w:tcW w:type="dxa" w:w="4320"/>
          </w:tcPr>
          <w:p>
            <w:r>
              <w:rPr>
                <w:rFonts w:ascii="맑은 고딕" w:hAnsi="맑은 고딕" w:eastAsia="맑은 고딕"/>
                <w:sz w:val="17"/>
              </w:rPr>
              <w:t>연락처</w:t>
            </w:r>
          </w:p>
        </w:tc>
        <w:tc>
          <w:tcPr>
            <w:tcW w:type="dxa" w:w="4320"/>
          </w:tcPr>
          <w:p>
            <w:r>
              <w:rPr>
                <w:rFonts w:ascii="맑은 고딕" w:hAnsi="맑은 고딕" w:eastAsia="맑은 고딕"/>
                <w:sz w:val="17"/>
              </w:rPr>
              <w:t>010-5710-0708 · choi@modooplan.kr</w:t>
            </w:r>
          </w:p>
        </w:tc>
      </w:tr>
      <w:tr>
        <w:tc>
          <w:tcPr>
            <w:tcW w:type="dxa" w:w="4320"/>
          </w:tcPr>
          <w:p>
            <w:r>
              <w:rPr>
                <w:rFonts w:ascii="맑은 고딕" w:hAnsi="맑은 고딕" w:eastAsia="맑은 고딕"/>
                <w:sz w:val="17"/>
              </w:rPr>
              <w:t>대상 기간</w:t>
            </w:r>
          </w:p>
        </w:tc>
        <w:tc>
          <w:tcPr>
            <w:tcW w:type="dxa" w:w="4320"/>
          </w:tcPr>
          <w:p>
            <w:r>
              <w:rPr>
                <w:rFonts w:ascii="맑은 고딕" w:hAnsi="맑은 고딕" w:eastAsia="맑은 고딕"/>
                <w:sz w:val="17"/>
              </w:rPr>
              <w:t>2026년 6월 8일(초기 버전) ~ 6월 23일(고도화), 약 2주</w:t>
            </w:r>
          </w:p>
        </w:tc>
      </w:tr>
      <w:tr>
        <w:tc>
          <w:tcPr>
            <w:tcW w:type="dxa" w:w="4320"/>
          </w:tcPr>
          <w:p>
            <w:r>
              <w:rPr>
                <w:rFonts w:ascii="맑은 고딕" w:hAnsi="맑은 고딕" w:eastAsia="맑은 고딕"/>
                <w:sz w:val="17"/>
              </w:rPr>
              <w:t>데이터 범위</w:t>
            </w:r>
          </w:p>
        </w:tc>
        <w:tc>
          <w:tcPr>
            <w:tcW w:type="dxa" w:w="4320"/>
          </w:tcPr>
          <w:p>
            <w:r>
              <w:rPr>
                <w:rFonts w:ascii="맑은 고딕" w:hAnsi="맑은 고딕" w:eastAsia="맑은 고딕"/>
                <w:sz w:val="17"/>
              </w:rPr>
              <w:t>2026년 1~4월 정산서 · 유통사 31곳 · 151개 파일 · 431,296행</w:t>
            </w:r>
          </w:p>
        </w:tc>
      </w:tr>
    </w:tbl>
    <w:p>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1. 개요</w:t>
      </w:r>
      <w:r>
        <w:rPr>
          <w:rFonts w:ascii="맑은 고딕" w:hAnsi="맑은 고딕" w:eastAsia="맑은 고딕"/>
        </w:rPr>
      </w:r>
    </w:p>
    <w:p>
      <w:r>
        <w:rPr>
          <w:rFonts w:ascii="맑은 고딕" w:hAnsi="맑은 고딕" w:eastAsia="맑은 고딕"/>
        </w:rPr>
      </w:r>
      <w:r>
        <w:rPr>
          <w:rFonts w:ascii="맑은 고딕" w:hAnsi="맑은 고딕" w:eastAsia="맑은 고딕"/>
        </w:rPr>
        <w:t>정산 표준화 솔루션을 초기 버전(v1)에서 고도화 버전(v2)으로 고도화 진행.</w:t>
      </w:r>
      <w:r>
        <w:rPr>
          <w:rFonts w:ascii="맑은 고딕" w:hAnsi="맑은 고딕" w:eastAsia="맑은 고딕"/>
        </w:rPr>
      </w:r>
    </w:p>
    <w:p>
      <w:r>
        <w:rPr>
          <w:rFonts w:ascii="맑은 고딕" w:hAnsi="맑은 고딕" w:eastAsia="맑은 고딕"/>
        </w:rPr>
      </w:r>
      <w:r>
        <w:rPr>
          <w:rFonts w:ascii="맑은 고딕" w:hAnsi="맑은 고딕" w:eastAsia="맑은 고딕"/>
          <w:b/>
        </w:rPr>
        <w:t>첫째, 데이터 처리 범위 확대.</w:t>
      </w:r>
      <w:r>
        <w:rPr>
          <w:rFonts w:ascii="맑은 고딕" w:hAnsi="맑은 고딕" w:eastAsia="맑은 고딕"/>
        </w:rPr>
        <w:t xml:space="preserve"> 과거 자동 취합이 불가능했던 교보문고·모픽을 자동화에 편입. 대상 기간을 2개월(2·3월)에서 4개월(1~4월)로 확장. 처리 규모 145,018행에서 431,296행으로 약 3배 증가.</w:t>
      </w:r>
      <w:r>
        <w:rPr>
          <w:rFonts w:ascii="맑은 고딕" w:hAnsi="맑은 고딕" w:eastAsia="맑은 고딕"/>
        </w:rPr>
      </w:r>
    </w:p>
    <w:p>
      <w:r>
        <w:rPr>
          <w:rFonts w:ascii="맑은 고딕" w:hAnsi="맑은 고딕" w:eastAsia="맑은 고딕"/>
        </w:rPr>
      </w:r>
      <w:r>
        <w:rPr>
          <w:rFonts w:ascii="맑은 고딕" w:hAnsi="맑은 고딕" w:eastAsia="맑은 고딕"/>
          <w:b/>
        </w:rPr>
        <w:t>둘째, 매칭 정확도 향상.</w:t>
      </w:r>
      <w:r>
        <w:rPr>
          <w:rFonts w:ascii="맑은 고딕" w:hAnsi="맑은 고딕" w:eastAsia="맑은 고딕"/>
        </w:rPr>
        <w:t xml:space="preserve"> 작가·작품 식별 규칙 정교화. 동일 기간 기준 완전매칭률 98.1%에서 98.6%로, 4개월 전체 기준 99.5%로 상향. 미매칭 정산액 비중 0.2%대에서 0.08%로 하락.</w:t>
      </w:r>
      <w:r>
        <w:rPr>
          <w:rFonts w:ascii="맑은 고딕" w:hAnsi="맑은 고딕" w:eastAsia="맑은 고딕"/>
        </w:rPr>
      </w:r>
    </w:p>
    <w:p>
      <w:r>
        <w:rPr>
          <w:rFonts w:ascii="맑은 고딕" w:hAnsi="맑은 고딕" w:eastAsia="맑은 고딕"/>
        </w:rPr>
      </w:r>
      <w:r>
        <w:rPr>
          <w:rFonts w:ascii="맑은 고딕" w:hAnsi="맑은 고딕" w:eastAsia="맑은 고딕"/>
          <w:b/>
        </w:rPr>
        <w:t>셋째, 매칭 오류 개선 연구 체계(연구소) 구축.</w:t>
      </w:r>
      <w:r>
        <w:rPr>
          <w:rFonts w:ascii="맑은 고딕" w:hAnsi="맑은 고딕" w:eastAsia="맑은 고딕"/>
        </w:rPr>
        <w:t xml:space="preserve"> 본 보고서의 중심. 매칭 규칙이 틀릴 수 있는 경로를 체계적으로 수집·진단하고 규칙에 반영하는 상시 개선 절차 마련. 실데이터에서 동명이작(同名異作) 오류를 발견한 것을 계기로 오류 유형 분류 체계·신고 기능·자동 탐지기·검토 절차를 갖추고 첫 개선 주기 완료.</w:t>
      </w:r>
      <w:r>
        <w:rPr>
          <w:rFonts w:ascii="맑은 고딕" w:hAnsi="맑은 고딕" w:eastAsia="맑은 고딕"/>
        </w:rPr>
      </w:r>
    </w:p>
    <w:p>
      <w:pPr>
        <w:pStyle w:val="Heading3"/>
      </w:pPr>
      <w:r>
        <w:rPr>
          <w:rFonts w:ascii="맑은 고딕" w:hAnsi="맑은 고딕" w:eastAsia="맑은 고딕"/>
        </w:rPr>
        <w:t>v1 대비 v2 주요 지표</w:t>
      </w:r>
      <w:r>
        <w:rPr>
          <w:rFonts w:ascii="맑은 고딕" w:hAnsi="맑은 고딕" w:eastAsia="맑은 고딕"/>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CECEC"/>
          </w:tcPr>
          <w:p>
            <w:r>
              <w:rPr>
                <w:rFonts w:ascii="맑은 고딕" w:hAnsi="맑은 고딕" w:eastAsia="맑은 고딕"/>
                <w:b/>
                <w:sz w:val="17"/>
              </w:rPr>
              <w:t>지표</w:t>
            </w:r>
          </w:p>
        </w:tc>
        <w:tc>
          <w:tcPr>
            <w:tcW w:type="dxa" w:w="2160"/>
            <w:shd w:val="clear" w:fill="ECECEC"/>
          </w:tcPr>
          <w:p>
            <w:r>
              <w:rPr>
                <w:rFonts w:ascii="맑은 고딕" w:hAnsi="맑은 고딕" w:eastAsia="맑은 고딕"/>
                <w:b/>
                <w:sz w:val="17"/>
              </w:rPr>
              <w:t>초기 v1 (6/8)</w:t>
            </w:r>
          </w:p>
        </w:tc>
        <w:tc>
          <w:tcPr>
            <w:tcW w:type="dxa" w:w="2160"/>
            <w:shd w:val="clear" w:fill="ECECEC"/>
          </w:tcPr>
          <w:p>
            <w:r>
              <w:rPr>
                <w:rFonts w:ascii="맑은 고딕" w:hAnsi="맑은 고딕" w:eastAsia="맑은 고딕"/>
                <w:b/>
                <w:sz w:val="17"/>
              </w:rPr>
              <w:t>고도화 v2 (6/23)</w:t>
            </w:r>
          </w:p>
        </w:tc>
        <w:tc>
          <w:tcPr>
            <w:tcW w:type="dxa" w:w="2160"/>
            <w:shd w:val="clear" w:fill="ECECEC"/>
          </w:tcPr>
          <w:p>
            <w:r>
              <w:rPr>
                <w:rFonts w:ascii="맑은 고딕" w:hAnsi="맑은 고딕" w:eastAsia="맑은 고딕"/>
                <w:b/>
                <w:sz w:val="17"/>
              </w:rPr>
              <w:t>변화</w:t>
            </w:r>
          </w:p>
        </w:tc>
      </w:tr>
      <w:tr>
        <w:tc>
          <w:tcPr>
            <w:tcW w:type="dxa" w:w="2160"/>
          </w:tcPr>
          <w:p>
            <w:r>
              <w:rPr>
                <w:rFonts w:ascii="맑은 고딕" w:hAnsi="맑은 고딕" w:eastAsia="맑은 고딕"/>
                <w:sz w:val="17"/>
              </w:rPr>
              <w:t>대상 기간</w:t>
            </w:r>
          </w:p>
        </w:tc>
        <w:tc>
          <w:tcPr>
            <w:tcW w:type="dxa" w:w="2160"/>
          </w:tcPr>
          <w:p>
            <w:r>
              <w:rPr>
                <w:rFonts w:ascii="맑은 고딕" w:hAnsi="맑은 고딕" w:eastAsia="맑은 고딕"/>
                <w:sz w:val="17"/>
              </w:rPr>
              <w:t>2·3월 (2개월)</w:t>
            </w:r>
          </w:p>
        </w:tc>
        <w:tc>
          <w:tcPr>
            <w:tcW w:type="dxa" w:w="2160"/>
          </w:tcPr>
          <w:p>
            <w:r>
              <w:rPr>
                <w:rFonts w:ascii="맑은 고딕" w:hAnsi="맑은 고딕" w:eastAsia="맑은 고딕"/>
                <w:sz w:val="17"/>
              </w:rPr>
              <w:t>1~4월 (4개월)</w:t>
            </w:r>
          </w:p>
        </w:tc>
        <w:tc>
          <w:tcPr>
            <w:tcW w:type="dxa" w:w="2160"/>
          </w:tcPr>
          <w:p>
            <w:r>
              <w:rPr>
                <w:rFonts w:ascii="맑은 고딕" w:hAnsi="맑은 고딕" w:eastAsia="맑은 고딕"/>
                <w:sz w:val="17"/>
              </w:rPr>
              <w:t>2배</w:t>
            </w:r>
          </w:p>
        </w:tc>
      </w:tr>
      <w:tr>
        <w:tc>
          <w:tcPr>
            <w:tcW w:type="dxa" w:w="2160"/>
          </w:tcPr>
          <w:p>
            <w:r>
              <w:rPr>
                <w:rFonts w:ascii="맑은 고딕" w:hAnsi="맑은 고딕" w:eastAsia="맑은 고딕"/>
                <w:sz w:val="17"/>
              </w:rPr>
              <w:t>처리 파일</w:t>
            </w:r>
          </w:p>
        </w:tc>
        <w:tc>
          <w:tcPr>
            <w:tcW w:type="dxa" w:w="2160"/>
          </w:tcPr>
          <w:p>
            <w:r>
              <w:rPr>
                <w:rFonts w:ascii="맑은 고딕" w:hAnsi="맑은 고딕" w:eastAsia="맑은 고딕"/>
                <w:sz w:val="17"/>
              </w:rPr>
              <w:t>69개</w:t>
            </w:r>
          </w:p>
        </w:tc>
        <w:tc>
          <w:tcPr>
            <w:tcW w:type="dxa" w:w="2160"/>
          </w:tcPr>
          <w:p>
            <w:r>
              <w:rPr>
                <w:rFonts w:ascii="맑은 고딕" w:hAnsi="맑은 고딕" w:eastAsia="맑은 고딕"/>
                <w:sz w:val="17"/>
              </w:rPr>
              <w:t>151개</w:t>
            </w:r>
          </w:p>
        </w:tc>
        <w:tc>
          <w:tcPr>
            <w:tcW w:type="dxa" w:w="2160"/>
          </w:tcPr>
          <w:p>
            <w:r>
              <w:rPr>
                <w:rFonts w:ascii="맑은 고딕" w:hAnsi="맑은 고딕" w:eastAsia="맑은 고딕"/>
                <w:sz w:val="17"/>
              </w:rPr>
              <w:t>+82</w:t>
            </w:r>
          </w:p>
        </w:tc>
      </w:tr>
      <w:tr>
        <w:tc>
          <w:tcPr>
            <w:tcW w:type="dxa" w:w="2160"/>
          </w:tcPr>
          <w:p>
            <w:r>
              <w:rPr>
                <w:rFonts w:ascii="맑은 고딕" w:hAnsi="맑은 고딕" w:eastAsia="맑은 고딕"/>
                <w:sz w:val="17"/>
              </w:rPr>
              <w:t>표준화 레코드</w:t>
            </w:r>
          </w:p>
        </w:tc>
        <w:tc>
          <w:tcPr>
            <w:tcW w:type="dxa" w:w="2160"/>
          </w:tcPr>
          <w:p>
            <w:r>
              <w:rPr>
                <w:rFonts w:ascii="맑은 고딕" w:hAnsi="맑은 고딕" w:eastAsia="맑은 고딕"/>
                <w:sz w:val="17"/>
              </w:rPr>
              <w:t>145,018행</w:t>
            </w:r>
          </w:p>
        </w:tc>
        <w:tc>
          <w:tcPr>
            <w:tcW w:type="dxa" w:w="2160"/>
          </w:tcPr>
          <w:p>
            <w:r>
              <w:rPr>
                <w:rFonts w:ascii="맑은 고딕" w:hAnsi="맑은 고딕" w:eastAsia="맑은 고딕"/>
                <w:sz w:val="17"/>
              </w:rPr>
              <w:t>431,296행</w:t>
            </w:r>
          </w:p>
        </w:tc>
        <w:tc>
          <w:tcPr>
            <w:tcW w:type="dxa" w:w="2160"/>
          </w:tcPr>
          <w:p>
            <w:r>
              <w:rPr>
                <w:rFonts w:ascii="맑은 고딕" w:hAnsi="맑은 고딕" w:eastAsia="맑은 고딕"/>
                <w:sz w:val="17"/>
              </w:rPr>
              <w:t>+286,278</w:t>
            </w:r>
          </w:p>
        </w:tc>
      </w:tr>
      <w:tr>
        <w:tc>
          <w:tcPr>
            <w:tcW w:type="dxa" w:w="2160"/>
          </w:tcPr>
          <w:p>
            <w:r>
              <w:rPr>
                <w:rFonts w:ascii="맑은 고딕" w:hAnsi="맑은 고딕" w:eastAsia="맑은 고딕"/>
                <w:sz w:val="17"/>
              </w:rPr>
              <w:t>유통사(플랫폼)</w:t>
            </w:r>
          </w:p>
        </w:tc>
        <w:tc>
          <w:tcPr>
            <w:tcW w:type="dxa" w:w="2160"/>
          </w:tcPr>
          <w:p>
            <w:r>
              <w:rPr>
                <w:rFonts w:ascii="맑은 고딕" w:hAnsi="맑은 고딕" w:eastAsia="맑은 고딕"/>
                <w:sz w:val="17"/>
              </w:rPr>
              <w:t>28~29곳</w:t>
            </w:r>
          </w:p>
        </w:tc>
        <w:tc>
          <w:tcPr>
            <w:tcW w:type="dxa" w:w="2160"/>
          </w:tcPr>
          <w:p>
            <w:r>
              <w:rPr>
                <w:rFonts w:ascii="맑은 고딕" w:hAnsi="맑은 고딕" w:eastAsia="맑은 고딕"/>
                <w:sz w:val="17"/>
              </w:rPr>
              <w:t>31곳</w:t>
            </w:r>
          </w:p>
        </w:tc>
        <w:tc>
          <w:tcPr>
            <w:tcW w:type="dxa" w:w="2160"/>
          </w:tcPr>
          <w:p>
            <w:r>
              <w:rPr>
                <w:rFonts w:ascii="맑은 고딕" w:hAnsi="맑은 고딕" w:eastAsia="맑은 고딕"/>
                <w:sz w:val="17"/>
              </w:rPr>
              <w:t>교보·모픽 편입</w:t>
            </w:r>
          </w:p>
        </w:tc>
      </w:tr>
      <w:tr>
        <w:tc>
          <w:tcPr>
            <w:tcW w:type="dxa" w:w="2160"/>
          </w:tcPr>
          <w:p>
            <w:r>
              <w:rPr>
                <w:rFonts w:ascii="맑은 고딕" w:hAnsi="맑은 고딕" w:eastAsia="맑은 고딕"/>
                <w:sz w:val="17"/>
              </w:rPr>
              <w:t>완전매칭률</w:t>
            </w:r>
          </w:p>
        </w:tc>
        <w:tc>
          <w:tcPr>
            <w:tcW w:type="dxa" w:w="2160"/>
          </w:tcPr>
          <w:p>
            <w:r>
              <w:rPr>
                <w:rFonts w:ascii="맑은 고딕" w:hAnsi="맑은 고딕" w:eastAsia="맑은 고딕"/>
                <w:sz w:val="17"/>
              </w:rPr>
              <w:t>98.1%</w:t>
            </w:r>
          </w:p>
        </w:tc>
        <w:tc>
          <w:tcPr>
            <w:tcW w:type="dxa" w:w="2160"/>
          </w:tcPr>
          <w:p>
            <w:r>
              <w:rPr>
                <w:rFonts w:ascii="맑은 고딕" w:hAnsi="맑은 고딕" w:eastAsia="맑은 고딕"/>
                <w:sz w:val="17"/>
              </w:rPr>
              <w:t>99.5%</w:t>
            </w:r>
          </w:p>
        </w:tc>
        <w:tc>
          <w:tcPr>
            <w:tcW w:type="dxa" w:w="2160"/>
          </w:tcPr>
          <w:p>
            <w:r>
              <w:rPr>
                <w:rFonts w:ascii="맑은 고딕" w:hAnsi="맑은 고딕" w:eastAsia="맑은 고딕"/>
                <w:sz w:val="17"/>
              </w:rPr>
              <w:t>+1.4%p</w:t>
            </w:r>
          </w:p>
        </w:tc>
      </w:tr>
      <w:tr>
        <w:tc>
          <w:tcPr>
            <w:tcW w:type="dxa" w:w="2160"/>
          </w:tcPr>
          <w:p>
            <w:r>
              <w:rPr>
                <w:rFonts w:ascii="맑은 고딕" w:hAnsi="맑은 고딕" w:eastAsia="맑은 고딕"/>
                <w:sz w:val="17"/>
              </w:rPr>
              <w:t>미매칭 정산액 비중</w:t>
            </w:r>
          </w:p>
        </w:tc>
        <w:tc>
          <w:tcPr>
            <w:tcW w:type="dxa" w:w="2160"/>
          </w:tcPr>
          <w:p>
            <w:r>
              <w:rPr>
                <w:rFonts w:ascii="맑은 고딕" w:hAnsi="맑은 고딕" w:eastAsia="맑은 고딕"/>
                <w:sz w:val="17"/>
              </w:rPr>
              <w:t>0.2%대</w:t>
            </w:r>
          </w:p>
        </w:tc>
        <w:tc>
          <w:tcPr>
            <w:tcW w:type="dxa" w:w="2160"/>
          </w:tcPr>
          <w:p>
            <w:r>
              <w:rPr>
                <w:rFonts w:ascii="맑은 고딕" w:hAnsi="맑은 고딕" w:eastAsia="맑은 고딕"/>
                <w:sz w:val="17"/>
              </w:rPr>
              <w:t>0.08%</w:t>
            </w:r>
          </w:p>
        </w:tc>
        <w:tc>
          <w:tcPr>
            <w:tcW w:type="dxa" w:w="2160"/>
          </w:tcPr>
          <w:p>
            <w:r>
              <w:rPr>
                <w:rFonts w:ascii="맑은 고딕" w:hAnsi="맑은 고딕" w:eastAsia="맑은 고딕"/>
                <w:sz w:val="17"/>
              </w:rPr>
              <w:t>약 1/3</w:t>
            </w:r>
          </w:p>
        </w:tc>
      </w:tr>
      <w:tr>
        <w:tc>
          <w:tcPr>
            <w:tcW w:type="dxa" w:w="2160"/>
          </w:tcPr>
          <w:p>
            <w:r>
              <w:rPr>
                <w:rFonts w:ascii="맑은 고딕" w:hAnsi="맑은 고딕" w:eastAsia="맑은 고딕"/>
                <w:sz w:val="17"/>
              </w:rPr>
              <w:t>식별 작가</w:t>
            </w:r>
          </w:p>
        </w:tc>
        <w:tc>
          <w:tcPr>
            <w:tcW w:type="dxa" w:w="2160"/>
          </w:tcPr>
          <w:p>
            <w:r>
              <w:rPr>
                <w:rFonts w:ascii="맑은 고딕" w:hAnsi="맑은 고딕" w:eastAsia="맑은 고딕"/>
                <w:sz w:val="17"/>
              </w:rPr>
              <w:t>약 4,251명</w:t>
            </w:r>
          </w:p>
        </w:tc>
        <w:tc>
          <w:tcPr>
            <w:tcW w:type="dxa" w:w="2160"/>
          </w:tcPr>
          <w:p>
            <w:r>
              <w:rPr>
                <w:rFonts w:ascii="맑은 고딕" w:hAnsi="맑은 고딕" w:eastAsia="맑은 고딕"/>
                <w:sz w:val="17"/>
              </w:rPr>
              <w:t>6,068명</w:t>
            </w:r>
          </w:p>
        </w:tc>
        <w:tc>
          <w:tcPr>
            <w:tcW w:type="dxa" w:w="2160"/>
          </w:tcPr>
          <w:p>
            <w:r>
              <w:rPr>
                <w:rFonts w:ascii="맑은 고딕" w:hAnsi="맑은 고딕" w:eastAsia="맑은 고딕"/>
                <w:sz w:val="17"/>
              </w:rPr>
              <w:t>—</w:t>
            </w:r>
          </w:p>
        </w:tc>
      </w:tr>
      <w:tr>
        <w:tc>
          <w:tcPr>
            <w:tcW w:type="dxa" w:w="2160"/>
          </w:tcPr>
          <w:p>
            <w:r>
              <w:rPr>
                <w:rFonts w:ascii="맑은 고딕" w:hAnsi="맑은 고딕" w:eastAsia="맑은 고딕"/>
                <w:sz w:val="17"/>
              </w:rPr>
              <w:t>식별 출판사</w:t>
            </w:r>
          </w:p>
        </w:tc>
        <w:tc>
          <w:tcPr>
            <w:tcW w:type="dxa" w:w="2160"/>
          </w:tcPr>
          <w:p>
            <w:r>
              <w:rPr>
                <w:rFonts w:ascii="맑은 고딕" w:hAnsi="맑은 고딕" w:eastAsia="맑은 고딕"/>
                <w:sz w:val="17"/>
              </w:rPr>
              <w:t>—</w:t>
            </w:r>
          </w:p>
        </w:tc>
        <w:tc>
          <w:tcPr>
            <w:tcW w:type="dxa" w:w="2160"/>
          </w:tcPr>
          <w:p>
            <w:r>
              <w:rPr>
                <w:rFonts w:ascii="맑은 고딕" w:hAnsi="맑은 고딕" w:eastAsia="맑은 고딕"/>
                <w:sz w:val="17"/>
              </w:rPr>
              <w:t>946개</w:t>
            </w:r>
          </w:p>
        </w:tc>
        <w:tc>
          <w:tcPr>
            <w:tcW w:type="dxa" w:w="2160"/>
          </w:tcPr>
          <w:p>
            <w:r>
              <w:rPr>
                <w:rFonts w:ascii="맑은 고딕" w:hAnsi="맑은 고딕" w:eastAsia="맑은 고딕"/>
                <w:sz w:val="17"/>
              </w:rPr>
              <w:t>신규(유통대행 집계)</w:t>
            </w:r>
          </w:p>
        </w:tc>
      </w:tr>
      <w:tr>
        <w:tc>
          <w:tcPr>
            <w:tcW w:type="dxa" w:w="2160"/>
          </w:tcPr>
          <w:p>
            <w:r>
              <w:rPr>
                <w:rFonts w:ascii="맑은 고딕" w:hAnsi="맑은 고딕" w:eastAsia="맑은 고딕"/>
                <w:sz w:val="17"/>
              </w:rPr>
              <w:t>매칭 오류 개선 체계</w:t>
            </w:r>
          </w:p>
        </w:tc>
        <w:tc>
          <w:tcPr>
            <w:tcW w:type="dxa" w:w="2160"/>
          </w:tcPr>
          <w:p>
            <w:r>
              <w:rPr>
                <w:rFonts w:ascii="맑은 고딕" w:hAnsi="맑은 고딕" w:eastAsia="맑은 고딕"/>
                <w:sz w:val="17"/>
              </w:rPr>
              <w:t>없음</w:t>
            </w:r>
          </w:p>
        </w:tc>
        <w:tc>
          <w:tcPr>
            <w:tcW w:type="dxa" w:w="2160"/>
          </w:tcPr>
          <w:p>
            <w:r>
              <w:rPr>
                <w:rFonts w:ascii="맑은 고딕" w:hAnsi="맑은 고딕" w:eastAsia="맑은 고딕"/>
                <w:sz w:val="17"/>
              </w:rPr>
              <w:t>연구소 도입</w:t>
            </w:r>
          </w:p>
        </w:tc>
        <w:tc>
          <w:tcPr>
            <w:tcW w:type="dxa" w:w="2160"/>
          </w:tcPr>
          <w:p>
            <w:r>
              <w:rPr>
                <w:rFonts w:ascii="맑은 고딕" w:hAnsi="맑은 고딕" w:eastAsia="맑은 고딕"/>
                <w:sz w:val="17"/>
              </w:rPr>
              <w:t>신규</w:t>
            </w:r>
          </w:p>
        </w:tc>
      </w:tr>
    </w:tbl>
    <w:p>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2. 추진 배경</w:t>
      </w:r>
      <w:r>
        <w:rPr>
          <w:rFonts w:ascii="맑은 고딕" w:hAnsi="맑은 고딕" w:eastAsia="맑은 고딕"/>
        </w:rPr>
      </w:r>
    </w:p>
    <w:p>
      <w:r>
        <w:rPr>
          <w:rFonts w:ascii="맑은 고딕" w:hAnsi="맑은 고딕" w:eastAsia="맑은 고딕"/>
        </w:rPr>
      </w:r>
      <w:r>
        <w:rPr>
          <w:rFonts w:ascii="맑은 고딕" w:hAnsi="맑은 고딕" w:eastAsia="맑은 고딕"/>
        </w:rPr>
        <w:t>초기 버전은 유통사 28곳의 상이한 정산서를 작가별 정산 근거가 자동 산출되는 표준 데이터로 변환하는 목표를 2·3월 데이터로 달성한 검증된 최소기능제품(MVP). 다만 다음 세 가지 한계 존재.</w:t>
      </w:r>
      <w:r>
        <w:rPr>
          <w:rFonts w:ascii="맑은 고딕" w:hAnsi="맑은 고딕" w:eastAsia="맑은 고딕"/>
        </w:rPr>
      </w:r>
      <w:r>
        <w:rPr>
          <w:rFonts w:ascii="맑은 고딕" w:hAnsi="맑은 고딕" w:eastAsia="맑은 고딕"/>
        </w:rPr>
      </w:r>
    </w:p>
    <w:p>
      <w:pPr>
        <w:pStyle w:val="ListBullet"/>
        <w:spacing w:line="240" w:lineRule="auto"/>
        <w:ind w:left="720"/>
      </w:pPr>
      <w:r>
        <w:rPr>
          <w:rFonts w:ascii="맑은 고딕" w:hAnsi="맑은 고딕" w:eastAsia="맑은 고딕"/>
        </w:rPr>
      </w:r>
      <w:r>
        <w:rPr>
          <w:rFonts w:ascii="맑은 고딕" w:hAnsi="맑은 고딕" w:eastAsia="맑은 고딕"/>
          <w:b/>
        </w:rPr>
        <w:t>수동 처리 영역 잔존.</w:t>
      </w:r>
      <w:r>
        <w:rPr>
          <w:rFonts w:ascii="맑은 고딕" w:hAnsi="맑은 고딕" w:eastAsia="맑은 고딕"/>
        </w:rPr>
        <w:t xml:space="preserve"> 교보문고·모픽 등 일부 플랫폼은 자동 수집 범위 밖으로 분류되어 수동 처리 대상.</w:t>
      </w:r>
      <w:r>
        <w:rPr>
          <w:rFonts w:ascii="맑은 고딕" w:hAnsi="맑은 고딕" w:eastAsia="맑은 고딕"/>
        </w:rPr>
      </w:r>
    </w:p>
    <w:p>
      <w:pPr>
        <w:pStyle w:val="ListBullet"/>
        <w:spacing w:line="240" w:lineRule="auto"/>
        <w:ind w:left="720"/>
      </w:pPr>
      <w:r>
        <w:rPr>
          <w:rFonts w:ascii="맑은 고딕" w:hAnsi="맑은 고딕" w:eastAsia="맑은 고딕"/>
        </w:rPr>
      </w:r>
      <w:r>
        <w:rPr>
          <w:rFonts w:ascii="맑은 고딕" w:hAnsi="맑은 고딕" w:eastAsia="맑은 고딕"/>
          <w:b/>
        </w:rPr>
        <w:t>단기간 검증.</w:t>
      </w:r>
      <w:r>
        <w:rPr>
          <w:rFonts w:ascii="맑은 고딕" w:hAnsi="맑은 고딕" w:eastAsia="맑은 고딕"/>
        </w:rPr>
        <w:t xml:space="preserve"> 2개월 데이터만으로는 양식 변동·신작 유입에 대한 강건성 미검증.</w:t>
      </w:r>
      <w:r>
        <w:rPr>
          <w:rFonts w:ascii="맑은 고딕" w:hAnsi="맑은 고딕" w:eastAsia="맑은 고딕"/>
        </w:rPr>
      </w:r>
    </w:p>
    <w:p>
      <w:pPr>
        <w:pStyle w:val="ListBullet"/>
        <w:spacing w:line="240" w:lineRule="auto"/>
        <w:ind w:left="720"/>
      </w:pPr>
      <w:r>
        <w:rPr>
          <w:rFonts w:ascii="맑은 고딕" w:hAnsi="맑은 고딕" w:eastAsia="맑은 고딕"/>
        </w:rPr>
      </w:r>
      <w:r>
        <w:rPr>
          <w:rFonts w:ascii="맑은 고딕" w:hAnsi="맑은 고딕" w:eastAsia="맑은 고딕"/>
          <w:b/>
        </w:rPr>
        <w:t>정확도 개선의 비체계성.</w:t>
      </w:r>
      <w:r>
        <w:rPr>
          <w:rFonts w:ascii="맑은 고딕" w:hAnsi="맑은 고딕" w:eastAsia="맑은 고딕"/>
        </w:rPr>
        <w:t xml:space="preserve"> 매칭 오류를 발견할 때마다 개별 대응하는 구조 — 어느 지점이 얼마나 틀리는지 전체 지도 부재.</w:t>
      </w:r>
      <w:r>
        <w:rPr>
          <w:rFonts w:ascii="맑은 고딕" w:hAnsi="맑은 고딕" w:eastAsia="맑은 고딕"/>
        </w:rPr>
      </w:r>
      <w:r>
        <w:rPr>
          <w:rFonts w:ascii="맑은 고딕" w:hAnsi="맑은 고딕" w:eastAsia="맑은 고딕"/>
        </w:rPr>
      </w:r>
    </w:p>
    <w:p>
      <w:r>
        <w:rPr>
          <w:rFonts w:ascii="맑은 고딕" w:hAnsi="맑은 고딕" w:eastAsia="맑은 고딕"/>
        </w:rPr>
      </w:r>
      <w:r>
        <w:rPr>
          <w:rFonts w:ascii="맑은 고딕" w:hAnsi="맑은 고딕" w:eastAsia="맑은 고딕"/>
        </w:rPr>
        <w:t>1·4월과 교보·모픽·에이블리 신규 데이터 확보 및 고도화 진행.</w:t>
      </w:r>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3. 매칭 정확도 개선 연구 체계 (연구소)</w:t>
      </w:r>
      <w:r>
        <w:rPr>
          <w:rFonts w:ascii="맑은 고딕" w:hAnsi="맑은 고딕" w:eastAsia="맑은 고딕"/>
        </w:rPr>
      </w:r>
    </w:p>
    <w:p>
      <w:pPr>
        <w:pStyle w:val="Heading3"/>
      </w:pPr>
      <w:r>
        <w:rPr>
          <w:rFonts w:ascii="맑은 고딕" w:hAnsi="맑은 고딕" w:eastAsia="맑은 고딕"/>
        </w:rPr>
        <w:t>3.1 문제 인식 — 동명이작 발견</w:t>
      </w:r>
      <w:r>
        <w:rPr>
          <w:rFonts w:ascii="맑은 고딕" w:hAnsi="맑은 고딕" w:eastAsia="맑은 고딕"/>
        </w:rPr>
      </w:r>
    </w:p>
    <w:p>
      <w:r>
        <w:rPr>
          <w:rFonts w:ascii="맑은 고딕" w:hAnsi="맑은 고딕" w:eastAsia="맑은 고딕"/>
        </w:rPr>
      </w:r>
      <w:r>
        <w:rPr>
          <w:rFonts w:ascii="맑은 고딕" w:hAnsi="맑은 고딕" w:eastAsia="맑은 고딕"/>
        </w:rPr>
        <w:t>작품별 정산 화면 검토 중 "부장님 왜 이러세요" 항목에서 한 작품에 작가·출판사가 각각 둘씩 표시되는 이상 확인. 원본 추적 결과 서로 다른 두 작품이 하나로 병합된 상태.</w:t>
      </w:r>
      <w:r>
        <w:rPr>
          <w:rFonts w:ascii="맑은 고딕" w:hAnsi="맑은 고딕" w:eastAsia="맑은 고딕"/>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CECEC"/>
          </w:tcPr>
          <w:p>
            <w:r>
              <w:rPr>
                <w:rFonts w:ascii="맑은 고딕" w:hAnsi="맑은 고딕" w:eastAsia="맑은 고딕"/>
                <w:b/>
                <w:sz w:val="17"/>
              </w:rPr>
              <w:t>실제 작품</w:t>
            </w:r>
          </w:p>
        </w:tc>
        <w:tc>
          <w:tcPr>
            <w:tcW w:type="dxa" w:w="2160"/>
            <w:shd w:val="clear" w:fill="ECECEC"/>
          </w:tcPr>
          <w:p>
            <w:r>
              <w:rPr>
                <w:rFonts w:ascii="맑은 고딕" w:hAnsi="맑은 고딕" w:eastAsia="맑은 고딕"/>
                <w:b/>
                <w:sz w:val="17"/>
              </w:rPr>
              <w:t>작가 / 출판사</w:t>
            </w:r>
          </w:p>
        </w:tc>
        <w:tc>
          <w:tcPr>
            <w:tcW w:type="dxa" w:w="2160"/>
            <w:shd w:val="clear" w:fill="ECECEC"/>
          </w:tcPr>
          <w:p>
            <w:r>
              <w:rPr>
                <w:rFonts w:ascii="맑은 고딕" w:hAnsi="맑은 고딕" w:eastAsia="맑은 고딕"/>
                <w:b/>
                <w:sz w:val="17"/>
              </w:rPr>
              <w:t>정산액</w:t>
            </w:r>
          </w:p>
        </w:tc>
        <w:tc>
          <w:tcPr>
            <w:tcW w:type="dxa" w:w="2160"/>
            <w:shd w:val="clear" w:fill="ECECEC"/>
          </w:tcPr>
          <w:p>
            <w:r>
              <w:rPr>
                <w:rFonts w:ascii="맑은 고딕" w:hAnsi="맑은 고딕" w:eastAsia="맑은 고딕"/>
                <w:b/>
                <w:sz w:val="17"/>
              </w:rPr>
              <w:t>유통 플랫폼</w:t>
            </w:r>
          </w:p>
        </w:tc>
      </w:tr>
      <w:tr>
        <w:tc>
          <w:tcPr>
            <w:tcW w:type="dxa" w:w="2160"/>
          </w:tcPr>
          <w:p>
            <w:r>
              <w:rPr>
                <w:rFonts w:ascii="맑은 고딕" w:hAnsi="맑은 고딕" w:eastAsia="맑은 고딕"/>
                <w:sz w:val="17"/>
              </w:rPr>
              <w:t>부장님 왜 이러세요 [개정판]</w:t>
            </w:r>
          </w:p>
        </w:tc>
        <w:tc>
          <w:tcPr>
            <w:tcW w:type="dxa" w:w="2160"/>
          </w:tcPr>
          <w:p>
            <w:r>
              <w:rPr>
                <w:rFonts w:ascii="맑은 고딕" w:hAnsi="맑은 고딕" w:eastAsia="맑은 고딕"/>
                <w:sz w:val="17"/>
              </w:rPr>
              <w:t>주황연 / 리체북스앤미디어</w:t>
            </w:r>
          </w:p>
        </w:tc>
        <w:tc>
          <w:tcPr>
            <w:tcW w:type="dxa" w:w="2160"/>
          </w:tcPr>
          <w:p>
            <w:r>
              <w:rPr>
                <w:rFonts w:ascii="맑은 고딕" w:hAnsi="맑은 고딕" w:eastAsia="맑은 고딕"/>
                <w:sz w:val="17"/>
              </w:rPr>
              <w:t>약 975,000원</w:t>
            </w:r>
          </w:p>
        </w:tc>
        <w:tc>
          <w:tcPr>
            <w:tcW w:type="dxa" w:w="2160"/>
          </w:tcPr>
          <w:p>
            <w:r>
              <w:rPr>
                <w:rFonts w:ascii="맑은 고딕" w:hAnsi="맑은 고딕" w:eastAsia="맑은 고딕"/>
                <w:sz w:val="17"/>
              </w:rPr>
              <w:t>원스토리·예스24·알라딘 등 8곳</w:t>
            </w:r>
          </w:p>
        </w:tc>
      </w:tr>
      <w:tr>
        <w:tc>
          <w:tcPr>
            <w:tcW w:type="dxa" w:w="2160"/>
          </w:tcPr>
          <w:p>
            <w:r>
              <w:rPr>
                <w:rFonts w:ascii="맑은 고딕" w:hAnsi="맑은 고딕" w:eastAsia="맑은 고딕"/>
                <w:sz w:val="17"/>
              </w:rPr>
              <w:t>부장님, 왜 이러세요?</w:t>
            </w:r>
          </w:p>
        </w:tc>
        <w:tc>
          <w:tcPr>
            <w:tcW w:type="dxa" w:w="2160"/>
          </w:tcPr>
          <w:p>
            <w:r>
              <w:rPr>
                <w:rFonts w:ascii="맑은 고딕" w:hAnsi="맑은 고딕" w:eastAsia="맑은 고딕"/>
                <w:sz w:val="17"/>
              </w:rPr>
              <w:t>창작집단 뻘 / BOOK 19</w:t>
            </w:r>
          </w:p>
        </w:tc>
        <w:tc>
          <w:tcPr>
            <w:tcW w:type="dxa" w:w="2160"/>
          </w:tcPr>
          <w:p>
            <w:r>
              <w:rPr>
                <w:rFonts w:ascii="맑은 고딕" w:hAnsi="맑은 고딕" w:eastAsia="맑은 고딕"/>
                <w:sz w:val="17"/>
              </w:rPr>
              <w:t>약 750원</w:t>
            </w:r>
          </w:p>
        </w:tc>
        <w:tc>
          <w:tcPr>
            <w:tcW w:type="dxa" w:w="2160"/>
          </w:tcPr>
          <w:p>
            <w:r>
              <w:rPr>
                <w:rFonts w:ascii="맑은 고딕" w:hAnsi="맑은 고딕" w:eastAsia="맑은 고딕"/>
                <w:sz w:val="17"/>
              </w:rPr>
              <w:t>미스터블루·원스토리</w:t>
            </w:r>
          </w:p>
        </w:tc>
      </w:tr>
    </w:tbl>
    <w:p>
      <w:r>
        <w:rPr>
          <w:rFonts w:ascii="맑은 고딕" w:hAnsi="맑은 고딕" w:eastAsia="맑은 고딕"/>
        </w:rPr>
      </w:r>
    </w:p>
    <w:p>
      <w:r>
        <w:rPr>
          <w:rFonts w:ascii="맑은 고딕" w:hAnsi="맑은 고딕" w:eastAsia="맑은 고딕"/>
        </w:rPr>
      </w:r>
      <w:r>
        <w:rPr>
          <w:rFonts w:ascii="맑은 고딕" w:hAnsi="맑은 고딕" w:eastAsia="맑은 고딕"/>
        </w:rPr>
        <w:t>원인은 작품 식별 키가 제목의 구두점(쉼표·물음표)과 띄어쓰기를 제거하기 때문. 그 결과 "부장님 왜 이러세요"와 "부장님, 왜 이러세요?"가 동일한 키로 충돌·병합.</w:t>
      </w:r>
      <w:r>
        <w:rPr>
          <w:rFonts w:ascii="맑은 고딕" w:hAnsi="맑은 고딕" w:eastAsia="맑은 고딕"/>
        </w:rPr>
      </w:r>
    </w:p>
    <w:p>
      <w:r>
        <w:rPr>
          <w:rFonts w:ascii="맑은 고딕" w:hAnsi="맑은 고딕" w:eastAsia="맑은 고딕"/>
        </w:rPr>
      </w:r>
      <w:r>
        <w:rPr>
          <w:rFonts w:ascii="맑은 고딕" w:hAnsi="맑은 고딕" w:eastAsia="맑은 고딕"/>
        </w:rPr>
        <w:t>단순 결함이 아니라 매칭 규칙의 구조적 균형 문제. 구두점을 보존하면 동명이작은 분리되나, 같은 작품의 띄어쓰기 변형이 과도하게 분리되는 더 큰 부작용 발생. 따라서 규칙 완화가 아니라 틀릴 수 있는 모든 경로를 관리하는 체계 도입으로 판단.</w:t>
      </w:r>
      <w:r>
        <w:rPr>
          <w:rFonts w:ascii="맑은 고딕" w:hAnsi="맑은 고딕" w:eastAsia="맑은 고딕"/>
        </w:rPr>
      </w:r>
    </w:p>
    <w:p>
      <w:pPr>
        <w:pStyle w:val="Heading3"/>
      </w:pPr>
      <w:r>
        <w:rPr>
          <w:rFonts w:ascii="맑은 고딕" w:hAnsi="맑은 고딕" w:eastAsia="맑은 고딕"/>
        </w:rPr>
        <w:t>3.2 연구소의 정의</w:t>
      </w:r>
      <w:r>
        <w:rPr>
          <w:rFonts w:ascii="맑은 고딕" w:hAnsi="맑은 고딕" w:eastAsia="맑은 고딕"/>
        </w:rPr>
      </w:r>
    </w:p>
    <w:p>
      <w:r>
        <w:rPr>
          <w:rFonts w:ascii="맑은 고딕" w:hAnsi="맑은 고딕" w:eastAsia="맑은 고딕"/>
        </w:rPr>
      </w:r>
      <w:r>
        <w:rPr>
          <w:rFonts w:ascii="맑은 고딕" w:hAnsi="맑은 고딕" w:eastAsia="맑은 고딕"/>
        </w:rPr>
        <w:t>연구소는 결과값 신고와 자동 탐지로 의심 사례를 모으고, 검토·진단을 거쳐 규칙에 반영한 뒤 효과를 재측정하는 순환 절차.</w:t>
      </w:r>
      <w:r>
        <w:rPr>
          <w:rFonts w:ascii="맑은 고딕" w:hAnsi="맑은 고딕" w:eastAsia="맑은 고딕"/>
        </w:rPr>
      </w:r>
      <w:r>
        <w:rPr>
          <w:rFonts w:ascii="맑은 고딕" w:hAnsi="맑은 고딕" w:eastAsia="맑은 고딕"/>
        </w:rPr>
        <w:t>신고 또는 자동 탐지 → 수집(상태 관리: 열림 / 검토중 / 규칙반영 / 기각) → 진단 및 규칙 반영 → 재측정으로 효과 검증 → (반복)</w:t>
      </w:r>
      <w:r>
        <w:rPr>
          <w:rFonts w:ascii="맑은 고딕" w:hAnsi="맑은 고딕" w:eastAsia="맑은 고딕"/>
        </w:rPr>
      </w:r>
    </w:p>
    <w:p>
      <w:r>
        <w:rPr>
          <w:rFonts w:ascii="맑은 고딕" w:hAnsi="맑은 고딕" w:eastAsia="맑은 고딕"/>
        </w:rPr>
      </w:r>
      <w:r>
        <w:rPr>
          <w:rFonts w:ascii="맑은 고딕" w:hAnsi="맑은 고딕" w:eastAsia="맑은 고딕"/>
        </w:rPr>
        <w:t>데이터 처리 신뢰의 본질은 한 번 정확한 결과가 아니라 틀린 부분을 신속히 찾아 고치고 재발을 막는 능력. 연구소는 이 능력을 시스템에 내장.</w:t>
      </w:r>
      <w:r>
        <w:rPr>
          <w:rFonts w:ascii="맑은 고딕" w:hAnsi="맑은 고딕" w:eastAsia="맑은 고딕"/>
        </w:rPr>
      </w:r>
    </w:p>
    <w:p>
      <w:pPr>
        <w:pStyle w:val="Heading3"/>
      </w:pPr>
      <w:r>
        <w:rPr>
          <w:rFonts w:ascii="맑은 고딕" w:hAnsi="맑은 고딕" w:eastAsia="맑은 고딕"/>
        </w:rPr>
        <w:t>3.3 구축 내용</w:t>
      </w:r>
      <w:r>
        <w:rPr>
          <w:rFonts w:ascii="맑은 고딕" w:hAnsi="맑은 고딕" w:eastAsia="맑은 고딕"/>
        </w:rPr>
      </w:r>
    </w:p>
    <w:p>
      <w:r>
        <w:rPr>
          <w:rFonts w:ascii="맑은 고딕" w:hAnsi="맑은 고딕" w:eastAsia="맑은 고딕"/>
        </w:rPr>
      </w:r>
      <w:r>
        <w:rPr>
          <w:rFonts w:ascii="맑은 고딕" w:hAnsi="맑은 고딕" w:eastAsia="맑은 고딕"/>
          <w:b/>
        </w:rPr>
        <w:t>가. 매칭 오류 유형 카탈로그(E1~E10).</w:t>
      </w:r>
      <w:r>
        <w:rPr>
          <w:rFonts w:ascii="맑은 고딕" w:hAnsi="맑은 고딕" w:eastAsia="맑은 고딕"/>
        </w:rPr>
        <w:t xml:space="preserve"> 파이프라인의 각 규칙이 틀릴 수 있는 경로를 전수 추출하고 유형별로 원인·증상·측정값·자동 탐지법·처리법 정의.</w:t>
      </w:r>
      <w:r>
        <w:rPr>
          <w:rFonts w:ascii="맑은 고딕" w:hAnsi="맑은 고딕" w:eastAsia="맑은 고딕"/>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CECEC"/>
          </w:tcPr>
          <w:p>
            <w:r>
              <w:rPr>
                <w:rFonts w:ascii="맑은 고딕" w:hAnsi="맑은 고딕" w:eastAsia="맑은 고딕"/>
                <w:b/>
                <w:sz w:val="17"/>
              </w:rPr>
              <w:t>코드</w:t>
            </w:r>
          </w:p>
        </w:tc>
        <w:tc>
          <w:tcPr>
            <w:tcW w:type="dxa" w:w="2160"/>
            <w:shd w:val="clear" w:fill="ECECEC"/>
          </w:tcPr>
          <w:p>
            <w:r>
              <w:rPr>
                <w:rFonts w:ascii="맑은 고딕" w:hAnsi="맑은 고딕" w:eastAsia="맑은 고딕"/>
                <w:b/>
                <w:sz w:val="17"/>
              </w:rPr>
              <w:t>오류 유형</w:t>
            </w:r>
          </w:p>
        </w:tc>
        <w:tc>
          <w:tcPr>
            <w:tcW w:type="dxa" w:w="2160"/>
            <w:shd w:val="clear" w:fill="ECECEC"/>
          </w:tcPr>
          <w:p>
            <w:r>
              <w:rPr>
                <w:rFonts w:ascii="맑은 고딕" w:hAnsi="맑은 고딕" w:eastAsia="맑은 고딕"/>
                <w:b/>
                <w:sz w:val="17"/>
              </w:rPr>
              <w:t>측정 규모(1~4월)</w:t>
            </w:r>
          </w:p>
        </w:tc>
        <w:tc>
          <w:tcPr>
            <w:tcW w:type="dxa" w:w="2160"/>
            <w:shd w:val="clear" w:fill="ECECEC"/>
          </w:tcPr>
          <w:p>
            <w:r>
              <w:rPr>
                <w:rFonts w:ascii="맑은 고딕" w:hAnsi="맑은 고딕" w:eastAsia="맑은 고딕"/>
                <w:b/>
                <w:sz w:val="17"/>
              </w:rPr>
              <w:t>처리 방향</w:t>
            </w:r>
          </w:p>
        </w:tc>
      </w:tr>
      <w:tr>
        <w:tc>
          <w:tcPr>
            <w:tcW w:type="dxa" w:w="2160"/>
          </w:tcPr>
          <w:p>
            <w:r>
              <w:rPr>
                <w:rFonts w:ascii="맑은 고딕" w:hAnsi="맑은 고딕" w:eastAsia="맑은 고딕"/>
                <w:sz w:val="17"/>
              </w:rPr>
              <w:t>E1</w:t>
            </w:r>
          </w:p>
        </w:tc>
        <w:tc>
          <w:tcPr>
            <w:tcW w:type="dxa" w:w="2160"/>
          </w:tcPr>
          <w:p>
            <w:r>
              <w:rPr>
                <w:rFonts w:ascii="맑은 고딕" w:hAnsi="맑은 고딕" w:eastAsia="맑은 고딕"/>
                <w:sz w:val="17"/>
              </w:rPr>
              <w:t>동명이작 과병합</w:t>
            </w:r>
          </w:p>
        </w:tc>
        <w:tc>
          <w:tcPr>
            <w:tcW w:type="dxa" w:w="2160"/>
          </w:tcPr>
          <w:p>
            <w:r>
              <w:rPr>
                <w:rFonts w:ascii="맑은 고딕" w:hAnsi="맑은 고딕" w:eastAsia="맑은 고딕"/>
                <w:sz w:val="17"/>
              </w:rPr>
              <w:t>실제 96건 / 위험액 약 47만원(0.06%)</w:t>
            </w:r>
          </w:p>
        </w:tc>
        <w:tc>
          <w:tcPr>
            <w:tcW w:type="dxa" w:w="2160"/>
          </w:tcPr>
          <w:p>
            <w:r>
              <w:rPr>
                <w:rFonts w:ascii="맑은 고딕" w:hAnsi="맑은 고딕" w:eastAsia="맑은 고딕"/>
                <w:sz w:val="17"/>
              </w:rPr>
              <w:t>작품키 분리 + 검토</w:t>
            </w:r>
          </w:p>
        </w:tc>
      </w:tr>
      <w:tr>
        <w:tc>
          <w:tcPr>
            <w:tcW w:type="dxa" w:w="2160"/>
          </w:tcPr>
          <w:p>
            <w:r>
              <w:rPr>
                <w:rFonts w:ascii="맑은 고딕" w:hAnsi="맑은 고딕" w:eastAsia="맑은 고딕"/>
                <w:sz w:val="17"/>
              </w:rPr>
              <w:t>E2</w:t>
            </w:r>
          </w:p>
        </w:tc>
        <w:tc>
          <w:tcPr>
            <w:tcW w:type="dxa" w:w="2160"/>
          </w:tcPr>
          <w:p>
            <w:r>
              <w:rPr>
                <w:rFonts w:ascii="맑은 고딕" w:hAnsi="맑은 고딕" w:eastAsia="맑은 고딕"/>
                <w:sz w:val="17"/>
              </w:rPr>
              <w:t>작가 표기변형 미통합 (동일 작가, 합쳐야 정상)</w:t>
            </w:r>
          </w:p>
        </w:tc>
        <w:tc>
          <w:tcPr>
            <w:tcW w:type="dxa" w:w="2160"/>
          </w:tcPr>
          <w:p>
            <w:r>
              <w:rPr>
                <w:rFonts w:ascii="맑은 고딕" w:hAnsi="맑은 고딕" w:eastAsia="맑은 고딕"/>
                <w:sz w:val="17"/>
              </w:rPr>
              <w:t>약 373건</w:t>
            </w:r>
          </w:p>
        </w:tc>
        <w:tc>
          <w:tcPr>
            <w:tcW w:type="dxa" w:w="2160"/>
          </w:tcPr>
          <w:p>
            <w:r>
              <w:rPr>
                <w:rFonts w:ascii="맑은 고딕" w:hAnsi="맑은 고딕" w:eastAsia="맑은 고딕"/>
                <w:sz w:val="17"/>
              </w:rPr>
              <w:t>작가 정규화 강화 (완료)</w:t>
            </w:r>
          </w:p>
        </w:tc>
      </w:tr>
      <w:tr>
        <w:tc>
          <w:tcPr>
            <w:tcW w:type="dxa" w:w="2160"/>
          </w:tcPr>
          <w:p>
            <w:r>
              <w:rPr>
                <w:rFonts w:ascii="맑은 고딕" w:hAnsi="맑은 고딕" w:eastAsia="맑은 고딕"/>
                <w:sz w:val="17"/>
              </w:rPr>
              <w:t>E3</w:t>
            </w:r>
          </w:p>
        </w:tc>
        <w:tc>
          <w:tcPr>
            <w:tcW w:type="dxa" w:w="2160"/>
          </w:tcPr>
          <w:p>
            <w:r>
              <w:rPr>
                <w:rFonts w:ascii="맑은 고딕" w:hAnsi="맑은 고딕" w:eastAsia="맑은 고딕"/>
                <w:sz w:val="17"/>
              </w:rPr>
              <w:t>출판사 표기변형</w:t>
            </w:r>
          </w:p>
        </w:tc>
        <w:tc>
          <w:tcPr>
            <w:tcW w:type="dxa" w:w="2160"/>
          </w:tcPr>
          <w:p>
            <w:r>
              <w:rPr>
                <w:rFonts w:ascii="맑은 고딕" w:hAnsi="맑은 고딕" w:eastAsia="맑은 고딕"/>
                <w:sz w:val="17"/>
              </w:rPr>
              <w:t>미측정</w:t>
            </w:r>
          </w:p>
        </w:tc>
        <w:tc>
          <w:tcPr>
            <w:tcW w:type="dxa" w:w="2160"/>
          </w:tcPr>
          <w:p>
            <w:r>
              <w:rPr>
                <w:rFonts w:ascii="맑은 고딕" w:hAnsi="맑은 고딕" w:eastAsia="맑은 고딕"/>
                <w:sz w:val="17"/>
              </w:rPr>
              <w:t>레이블 정규화·별칭</w:t>
            </w:r>
          </w:p>
        </w:tc>
      </w:tr>
      <w:tr>
        <w:tc>
          <w:tcPr>
            <w:tcW w:type="dxa" w:w="2160"/>
          </w:tcPr>
          <w:p>
            <w:r>
              <w:rPr>
                <w:rFonts w:ascii="맑은 고딕" w:hAnsi="맑은 고딕" w:eastAsia="맑은 고딕"/>
                <w:sz w:val="17"/>
              </w:rPr>
              <w:t>E4</w:t>
            </w:r>
          </w:p>
        </w:tc>
        <w:tc>
          <w:tcPr>
            <w:tcW w:type="dxa" w:w="2160"/>
          </w:tcPr>
          <w:p>
            <w:r>
              <w:rPr>
                <w:rFonts w:ascii="맑은 고딕" w:hAnsi="맑은 고딕" w:eastAsia="맑은 고딕"/>
                <w:sz w:val="17"/>
              </w:rPr>
              <w:t>교차참조 오귀속</w:t>
            </w:r>
          </w:p>
        </w:tc>
        <w:tc>
          <w:tcPr>
            <w:tcW w:type="dxa" w:w="2160"/>
          </w:tcPr>
          <w:p>
            <w:r>
              <w:rPr>
                <w:rFonts w:ascii="맑은 고딕" w:hAnsi="맑은 고딕" w:eastAsia="맑은 고딕"/>
                <w:sz w:val="17"/>
              </w:rPr>
              <w:t>E1 연동</w:t>
            </w:r>
          </w:p>
        </w:tc>
        <w:tc>
          <w:tcPr>
            <w:tcW w:type="dxa" w:w="2160"/>
          </w:tcPr>
          <w:p>
            <w:r>
              <w:rPr>
                <w:rFonts w:ascii="맑은 고딕" w:hAnsi="맑은 고딕" w:eastAsia="맑은 고딕"/>
                <w:sz w:val="17"/>
              </w:rPr>
              <w:t>E1 분리 선행</w:t>
            </w:r>
          </w:p>
        </w:tc>
      </w:tr>
      <w:tr>
        <w:tc>
          <w:tcPr>
            <w:tcW w:type="dxa" w:w="2160"/>
          </w:tcPr>
          <w:p>
            <w:r>
              <w:rPr>
                <w:rFonts w:ascii="맑은 고딕" w:hAnsi="맑은 고딕" w:eastAsia="맑은 고딕"/>
                <w:sz w:val="17"/>
              </w:rPr>
              <w:t>E5</w:t>
            </w:r>
          </w:p>
        </w:tc>
        <w:tc>
          <w:tcPr>
            <w:tcW w:type="dxa" w:w="2160"/>
          </w:tcPr>
          <w:p>
            <w:r>
              <w:rPr>
                <w:rFonts w:ascii="맑은 고딕" w:hAnsi="맑은 고딕" w:eastAsia="맑은 고딕"/>
                <w:sz w:val="17"/>
              </w:rPr>
              <w:t>번들/구독 오분류</w:t>
            </w:r>
          </w:p>
        </w:tc>
        <w:tc>
          <w:tcPr>
            <w:tcW w:type="dxa" w:w="2160"/>
          </w:tcPr>
          <w:p>
            <w:r>
              <w:rPr>
                <w:rFonts w:ascii="맑은 고딕" w:hAnsi="맑은 고딕" w:eastAsia="맑은 고딕"/>
                <w:sz w:val="17"/>
              </w:rPr>
              <w:t>20행 정상 분리</w:t>
            </w:r>
          </w:p>
        </w:tc>
        <w:tc>
          <w:tcPr>
            <w:tcW w:type="dxa" w:w="2160"/>
          </w:tcPr>
          <w:p>
            <w:r>
              <w:rPr>
                <w:rFonts w:ascii="맑은 고딕" w:hAnsi="맑은 고딕" w:eastAsia="맑은 고딕"/>
                <w:sz w:val="17"/>
              </w:rPr>
              <w:t>사전 보강·검토</w:t>
            </w:r>
          </w:p>
        </w:tc>
      </w:tr>
      <w:tr>
        <w:tc>
          <w:tcPr>
            <w:tcW w:type="dxa" w:w="2160"/>
          </w:tcPr>
          <w:p>
            <w:r>
              <w:rPr>
                <w:rFonts w:ascii="맑은 고딕" w:hAnsi="맑은 고딕" w:eastAsia="맑은 고딕"/>
                <w:sz w:val="17"/>
              </w:rPr>
              <w:t>E6</w:t>
            </w:r>
          </w:p>
        </w:tc>
        <w:tc>
          <w:tcPr>
            <w:tcW w:type="dxa" w:w="2160"/>
          </w:tcPr>
          <w:p>
            <w:r>
              <w:rPr>
                <w:rFonts w:ascii="맑은 고딕" w:hAnsi="맑은 고딕" w:eastAsia="맑은 고딕"/>
                <w:sz w:val="17"/>
              </w:rPr>
              <w:t>단행본/연재 오판</w:t>
            </w:r>
          </w:p>
        </w:tc>
        <w:tc>
          <w:tcPr>
            <w:tcW w:type="dxa" w:w="2160"/>
          </w:tcPr>
          <w:p>
            <w:r>
              <w:rPr>
                <w:rFonts w:ascii="맑은 고딕" w:hAnsi="맑은 고딕" w:eastAsia="맑은 고딕"/>
                <w:sz w:val="17"/>
              </w:rPr>
              <w:t>각주 미확정분</w:t>
            </w:r>
          </w:p>
        </w:tc>
        <w:tc>
          <w:tcPr>
            <w:tcW w:type="dxa" w:w="2160"/>
          </w:tcPr>
          <w:p>
            <w:r>
              <w:rPr>
                <w:rFonts w:ascii="맑은 고딕" w:hAnsi="맑은 고딕" w:eastAsia="맑은 고딕"/>
                <w:sz w:val="17"/>
              </w:rPr>
              <w:t>확인서 회신 반영</w:t>
            </w:r>
          </w:p>
        </w:tc>
      </w:tr>
      <w:tr>
        <w:tc>
          <w:tcPr>
            <w:tcW w:type="dxa" w:w="2160"/>
          </w:tcPr>
          <w:p>
            <w:r>
              <w:rPr>
                <w:rFonts w:ascii="맑은 고딕" w:hAnsi="맑은 고딕" w:eastAsia="맑은 고딕"/>
                <w:sz w:val="17"/>
              </w:rPr>
              <w:t>E7</w:t>
            </w:r>
          </w:p>
        </w:tc>
        <w:tc>
          <w:tcPr>
            <w:tcW w:type="dxa" w:w="2160"/>
          </w:tcPr>
          <w:p>
            <w:r>
              <w:rPr>
                <w:rFonts w:ascii="맑은 고딕" w:hAnsi="맑은 고딕" w:eastAsia="맑은 고딕"/>
                <w:sz w:val="17"/>
              </w:rPr>
              <w:t>권/회차 통합 경계</w:t>
            </w:r>
          </w:p>
        </w:tc>
        <w:tc>
          <w:tcPr>
            <w:tcW w:type="dxa" w:w="2160"/>
          </w:tcPr>
          <w:p>
            <w:r>
              <w:rPr>
                <w:rFonts w:ascii="맑은 고딕" w:hAnsi="맑은 고딕" w:eastAsia="맑은 고딕"/>
                <w:sz w:val="17"/>
              </w:rPr>
              <w:t>잔여 미매칭</w:t>
            </w:r>
          </w:p>
        </w:tc>
        <w:tc>
          <w:tcPr>
            <w:tcW w:type="dxa" w:w="2160"/>
          </w:tcPr>
          <w:p>
            <w:r>
              <w:rPr>
                <w:rFonts w:ascii="맑은 고딕" w:hAnsi="맑은 고딕" w:eastAsia="맑은 고딕"/>
                <w:sz w:val="17"/>
              </w:rPr>
              <w:t>시리즈 별칭</w:t>
            </w:r>
          </w:p>
        </w:tc>
      </w:tr>
      <w:tr>
        <w:tc>
          <w:tcPr>
            <w:tcW w:type="dxa" w:w="2160"/>
          </w:tcPr>
          <w:p>
            <w:r>
              <w:rPr>
                <w:rFonts w:ascii="맑은 고딕" w:hAnsi="맑은 고딕" w:eastAsia="맑은 고딕"/>
                <w:sz w:val="17"/>
              </w:rPr>
              <w:t>E8</w:t>
            </w:r>
          </w:p>
        </w:tc>
        <w:tc>
          <w:tcPr>
            <w:tcW w:type="dxa" w:w="2160"/>
          </w:tcPr>
          <w:p>
            <w:r>
              <w:rPr>
                <w:rFonts w:ascii="맑은 고딕" w:hAnsi="맑은 고딕" w:eastAsia="맑은 고딕"/>
                <w:sz w:val="17"/>
              </w:rPr>
              <w:t>합산·대사 사각지대</w:t>
            </w:r>
          </w:p>
        </w:tc>
        <w:tc>
          <w:tcPr>
            <w:tcW w:type="dxa" w:w="2160"/>
          </w:tcPr>
          <w:p>
            <w:r>
              <w:rPr>
                <w:rFonts w:ascii="맑은 고딕" w:hAnsi="맑은 고딕" w:eastAsia="맑은 고딕"/>
                <w:sz w:val="17"/>
              </w:rPr>
              <w:t>합계행 없는 65개 파일</w:t>
            </w:r>
          </w:p>
        </w:tc>
        <w:tc>
          <w:tcPr>
            <w:tcW w:type="dxa" w:w="2160"/>
          </w:tcPr>
          <w:p>
            <w:r>
              <w:rPr>
                <w:rFonts w:ascii="맑은 고딕" w:hAnsi="맑은 고딕" w:eastAsia="맑은 고딕"/>
                <w:sz w:val="17"/>
              </w:rPr>
              <w:t>교차검증 보조</w:t>
            </w:r>
          </w:p>
        </w:tc>
      </w:tr>
      <w:tr>
        <w:tc>
          <w:tcPr>
            <w:tcW w:type="dxa" w:w="2160"/>
          </w:tcPr>
          <w:p>
            <w:r>
              <w:rPr>
                <w:rFonts w:ascii="맑은 고딕" w:hAnsi="맑은 고딕" w:eastAsia="맑은 고딕"/>
                <w:sz w:val="17"/>
              </w:rPr>
              <w:t>E9</w:t>
            </w:r>
          </w:p>
        </w:tc>
        <w:tc>
          <w:tcPr>
            <w:tcW w:type="dxa" w:w="2160"/>
          </w:tcPr>
          <w:p>
            <w:r>
              <w:rPr>
                <w:rFonts w:ascii="맑은 고딕" w:hAnsi="맑은 고딕" w:eastAsia="맑은 고딕"/>
                <w:sz w:val="17"/>
              </w:rPr>
              <w:t>정산액 추정 오차</w:t>
            </w:r>
          </w:p>
        </w:tc>
        <w:tc>
          <w:tcPr>
            <w:tcW w:type="dxa" w:w="2160"/>
          </w:tcPr>
          <w:p>
            <w:r>
              <w:rPr>
                <w:rFonts w:ascii="맑은 고딕" w:hAnsi="맑은 고딕" w:eastAsia="맑은 고딕"/>
                <w:sz w:val="17"/>
              </w:rPr>
              <w:t>네이버 등 계산값 행</w:t>
            </w:r>
          </w:p>
        </w:tc>
        <w:tc>
          <w:tcPr>
            <w:tcW w:type="dxa" w:w="2160"/>
          </w:tcPr>
          <w:p>
            <w:r>
              <w:rPr>
                <w:rFonts w:ascii="맑은 고딕" w:hAnsi="맑은 고딕" w:eastAsia="맑은 고딕"/>
                <w:sz w:val="17"/>
              </w:rPr>
              <w:t>수수료 기준 회신</w:t>
            </w:r>
          </w:p>
        </w:tc>
      </w:tr>
      <w:tr>
        <w:tc>
          <w:tcPr>
            <w:tcW w:type="dxa" w:w="2160"/>
          </w:tcPr>
          <w:p>
            <w:r>
              <w:rPr>
                <w:rFonts w:ascii="맑은 고딕" w:hAnsi="맑은 고딕" w:eastAsia="맑은 고딕"/>
                <w:sz w:val="17"/>
              </w:rPr>
              <w:t>E10</w:t>
            </w:r>
          </w:p>
        </w:tc>
        <w:tc>
          <w:tcPr>
            <w:tcW w:type="dxa" w:w="2160"/>
          </w:tcPr>
          <w:p>
            <w:r>
              <w:rPr>
                <w:rFonts w:ascii="맑은 고딕" w:hAnsi="맑은 고딕" w:eastAsia="맑은 고딕"/>
                <w:sz w:val="17"/>
              </w:rPr>
              <w:t>미매칭 단독작</w:t>
            </w:r>
          </w:p>
        </w:tc>
        <w:tc>
          <w:tcPr>
            <w:tcW w:type="dxa" w:w="2160"/>
          </w:tcPr>
          <w:p>
            <w:r>
              <w:rPr>
                <w:rFonts w:ascii="맑은 고딕" w:hAnsi="맑은 고딕" w:eastAsia="맑은 고딕"/>
                <w:sz w:val="17"/>
              </w:rPr>
              <w:t>246행(0.06%)</w:t>
            </w:r>
          </w:p>
        </w:tc>
        <w:tc>
          <w:tcPr>
            <w:tcW w:type="dxa" w:w="2160"/>
          </w:tcPr>
          <w:p>
            <w:r>
              <w:rPr>
                <w:rFonts w:ascii="맑은 고딕" w:hAnsi="맑은 고딕" w:eastAsia="맑은 고딕"/>
                <w:sz w:val="17"/>
              </w:rPr>
              <w:t>제안 후 승인</w:t>
            </w:r>
          </w:p>
        </w:tc>
      </w:tr>
    </w:tbl>
    <w:p>
      <w:r>
        <w:rPr>
          <w:rFonts w:ascii="맑은 고딕" w:hAnsi="맑은 고딕" w:eastAsia="맑은 고딕"/>
        </w:rPr>
      </w:r>
    </w:p>
    <w:p>
      <w:r>
        <w:rPr>
          <w:rFonts w:ascii="맑은 고딕" w:hAnsi="맑은 고딕" w:eastAsia="맑은 고딕"/>
        </w:rPr>
      </w:r>
      <w:r>
        <w:rPr>
          <w:rFonts w:ascii="맑은 고딕" w:hAnsi="맑은 고딕" w:eastAsia="맑은 고딕"/>
          <w:b/>
        </w:rPr>
        <w:t>나. 신고 기능.</w:t>
      </w:r>
      <w:r>
        <w:rPr>
          <w:rFonts w:ascii="맑은 고딕" w:hAnsi="맑은 고딕" w:eastAsia="맑은 고딕"/>
        </w:rPr>
        <w:t xml:space="preserve"> 작품별·작가별 결과 행에서 이상 사례 신고 가능. 사유 분류와 메모 입력 시 감사 추적 가능한 기록으로 저장.</w:t>
      </w:r>
      <w:r>
        <w:rPr>
          <w:rFonts w:ascii="맑은 고딕" w:hAnsi="맑은 고딕" w:eastAsia="맑은 고딕"/>
        </w:rPr>
      </w:r>
    </w:p>
    <w:p>
      <w:r>
        <w:rPr>
          <w:rFonts w:ascii="맑은 고딕" w:hAnsi="맑은 고딕" w:eastAsia="맑은 고딕"/>
        </w:rPr>
      </w:r>
      <w:r>
        <w:rPr>
          <w:rFonts w:ascii="맑은 고딕" w:hAnsi="맑은 고딕" w:eastAsia="맑은 고딕"/>
          <w:b/>
        </w:rPr>
        <w:t>다. 자동 탐지기.</w:t>
      </w:r>
      <w:r>
        <w:rPr>
          <w:rFonts w:ascii="맑은 고딕" w:hAnsi="맑은 고딕" w:eastAsia="맑은 고딕"/>
        </w:rPr>
        <w:t xml:space="preserve"> 사람이 일일이 확인하지 않아도 시스템이 의심 사례를 추출. 첫 탐지기로 동명이작 탐지기 구현. 한 작품에 작가 군집이 둘 이상이고 각 군집의 출판사가 서로 겹치지 않으면 다른 작품으로 보고 자동 적출, 오귀속 위험액 산출.</w:t>
      </w:r>
      <w:r>
        <w:rPr>
          <w:rFonts w:ascii="맑은 고딕" w:hAnsi="맑은 고딕" w:eastAsia="맑은 고딕"/>
        </w:rPr>
      </w:r>
    </w:p>
    <w:p>
      <w:r>
        <w:rPr>
          <w:rFonts w:ascii="맑은 고딕" w:hAnsi="맑은 고딕" w:eastAsia="맑은 고딕"/>
        </w:rPr>
      </w:r>
      <w:r>
        <w:rPr>
          <w:rFonts w:ascii="맑은 고딕" w:hAnsi="맑은 고딕" w:eastAsia="맑은 고딕"/>
          <w:b/>
        </w:rPr>
        <w:t>라. 검토 절차.</w:t>
      </w:r>
      <w:r>
        <w:rPr>
          <w:rFonts w:ascii="맑은 고딕" w:hAnsi="맑은 고딕" w:eastAsia="맑은 고딕"/>
        </w:rPr>
        <w:t xml:space="preserve"> 신고·자동 탐지 사례가 모이는 화면에서 각 건을 열림·검토중·규칙반영·기각 상태로 관리하고 진단 메모 첨부.</w:t>
      </w:r>
      <w:r>
        <w:rPr>
          <w:rFonts w:ascii="맑은 고딕" w:hAnsi="맑은 고딕" w:eastAsia="맑은 고딕"/>
        </w:rPr>
      </w:r>
    </w:p>
    <w:p>
      <w:pPr>
        <w:pStyle w:val="Heading3"/>
      </w:pPr>
      <w:r>
        <w:rPr>
          <w:rFonts w:ascii="맑은 고딕" w:hAnsi="맑은 고딕" w:eastAsia="맑은 고딕"/>
        </w:rPr>
        <w:t>3.4 첫 개선 주기 — 작가 정규화 강화(E2)</w:t>
      </w:r>
      <w:r>
        <w:rPr>
          <w:rFonts w:ascii="맑은 고딕" w:hAnsi="맑은 고딕" w:eastAsia="맑은 고딕"/>
        </w:rPr>
      </w:r>
    </w:p>
    <w:p>
      <w:r>
        <w:rPr>
          <w:rFonts w:ascii="맑은 고딕" w:hAnsi="맑은 고딕" w:eastAsia="맑은 고딕"/>
        </w:rPr>
      </w:r>
      <w:r>
        <w:rPr>
          <w:rFonts w:ascii="맑은 고딕" w:hAnsi="맑은 고딕" w:eastAsia="맑은 고딕"/>
        </w:rPr>
        <w:t>연구소가 적출한 첫 과제. 작가가 둘 이상으로 잡힌 의심 사례 489건 분석 결과, 대부분이 실제 동명이작이 아니라 같은 작가의 표기 변형임을 측정으로 확인. 예: 한자 병기(필환 / 필환(筆煥)), 붙은 한자(무영 / 무영武映), 구두점·영문 병기(로체니콥 / 로체니콥. / 로체니콥(rocheni-cob)).</w:t>
      </w:r>
      <w:r>
        <w:rPr>
          <w:rFonts w:ascii="맑은 고딕" w:hAnsi="맑은 고딕" w:eastAsia="맑은 고딕"/>
        </w:rPr>
      </w:r>
    </w:p>
    <w:p>
      <w:r>
        <w:rPr>
          <w:rFonts w:ascii="맑은 고딕" w:hAnsi="맑은 고딕" w:eastAsia="맑은 고딕"/>
        </w:rPr>
      </w:r>
      <w:r>
        <w:rPr>
          <w:rFonts w:ascii="맑은 고딕" w:hAnsi="맑은 고딕" w:eastAsia="맑은 고딕"/>
        </w:rPr>
        <w:t>이에 작가 정규화 규칙을 강화하여 한글 이름에 붙은 한자·영문 병기와 구두점 통합. 동시에 오통합 방지 안전장치 적용 — 필명(이윤정(탠저린)), 공동작가 표기(사마달, 고월), 순수 영문 이름(Magoing)은 보존. 단위 테스트 10건(통합 7 / 별개유지 3) 전수 통과.</w:t>
      </w:r>
      <w:r>
        <w:rPr>
          <w:rFonts w:ascii="맑은 고딕" w:hAnsi="맑은 고딕" w:eastAsia="맑은 고딕"/>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CECEC"/>
          </w:tcPr>
          <w:p>
            <w:r>
              <w:rPr>
                <w:rFonts w:ascii="맑은 고딕" w:hAnsi="맑은 고딕" w:eastAsia="맑은 고딕"/>
                <w:b/>
                <w:sz w:val="17"/>
              </w:rPr>
              <w:t>지표 (1~4월 전체)</w:t>
            </w:r>
          </w:p>
        </w:tc>
        <w:tc>
          <w:tcPr>
            <w:tcW w:type="dxa" w:w="2160"/>
            <w:shd w:val="clear" w:fill="ECECEC"/>
          </w:tcPr>
          <w:p>
            <w:r>
              <w:rPr>
                <w:rFonts w:ascii="맑은 고딕" w:hAnsi="맑은 고딕" w:eastAsia="맑은 고딕"/>
                <w:b/>
                <w:sz w:val="17"/>
              </w:rPr>
              <w:t>강화 전</w:t>
            </w:r>
          </w:p>
        </w:tc>
        <w:tc>
          <w:tcPr>
            <w:tcW w:type="dxa" w:w="2160"/>
            <w:shd w:val="clear" w:fill="ECECEC"/>
          </w:tcPr>
          <w:p>
            <w:r>
              <w:rPr>
                <w:rFonts w:ascii="맑은 고딕" w:hAnsi="맑은 고딕" w:eastAsia="맑은 고딕"/>
                <w:b/>
                <w:sz w:val="17"/>
              </w:rPr>
              <w:t>강화 후</w:t>
            </w:r>
          </w:p>
        </w:tc>
        <w:tc>
          <w:tcPr>
            <w:tcW w:type="dxa" w:w="2160"/>
            <w:shd w:val="clear" w:fill="ECECEC"/>
          </w:tcPr>
          <w:p>
            <w:r>
              <w:rPr>
                <w:rFonts w:ascii="맑은 고딕" w:hAnsi="맑은 고딕" w:eastAsia="맑은 고딕"/>
                <w:b/>
                <w:sz w:val="17"/>
              </w:rPr>
              <w:t>차이</w:t>
            </w:r>
          </w:p>
        </w:tc>
      </w:tr>
      <w:tr>
        <w:tc>
          <w:tcPr>
            <w:tcW w:type="dxa" w:w="2160"/>
          </w:tcPr>
          <w:p>
            <w:r>
              <w:rPr>
                <w:rFonts w:ascii="맑은 고딕" w:hAnsi="맑은 고딕" w:eastAsia="맑은 고딕"/>
                <w:sz w:val="17"/>
              </w:rPr>
              <w:t>고유 작가(식별 키)</w:t>
            </w:r>
          </w:p>
        </w:tc>
        <w:tc>
          <w:tcPr>
            <w:tcW w:type="dxa" w:w="2160"/>
          </w:tcPr>
          <w:p>
            <w:r>
              <w:rPr>
                <w:rFonts w:ascii="맑은 고딕" w:hAnsi="맑은 고딕" w:eastAsia="맑은 고딕"/>
                <w:sz w:val="17"/>
              </w:rPr>
              <w:t>6,168명</w:t>
            </w:r>
          </w:p>
        </w:tc>
        <w:tc>
          <w:tcPr>
            <w:tcW w:type="dxa" w:w="2160"/>
          </w:tcPr>
          <w:p>
            <w:r>
              <w:rPr>
                <w:rFonts w:ascii="맑은 고딕" w:hAnsi="맑은 고딕" w:eastAsia="맑은 고딕"/>
                <w:sz w:val="17"/>
              </w:rPr>
              <w:t>6,068명</w:t>
            </w:r>
          </w:p>
        </w:tc>
        <w:tc>
          <w:tcPr>
            <w:tcW w:type="dxa" w:w="2160"/>
          </w:tcPr>
          <w:p>
            <w:r>
              <w:rPr>
                <w:rFonts w:ascii="맑은 고딕" w:hAnsi="맑은 고딕" w:eastAsia="맑은 고딕"/>
                <w:sz w:val="17"/>
              </w:rPr>
              <w:t>-100</w:t>
            </w:r>
          </w:p>
        </w:tc>
      </w:tr>
      <w:tr>
        <w:tc>
          <w:tcPr>
            <w:tcW w:type="dxa" w:w="2160"/>
          </w:tcPr>
          <w:p>
            <w:r>
              <w:rPr>
                <w:rFonts w:ascii="맑은 고딕" w:hAnsi="맑은 고딕" w:eastAsia="맑은 고딕"/>
                <w:sz w:val="17"/>
              </w:rPr>
              <w:t>작가 2명 이상 작품</w:t>
            </w:r>
          </w:p>
        </w:tc>
        <w:tc>
          <w:tcPr>
            <w:tcW w:type="dxa" w:w="2160"/>
          </w:tcPr>
          <w:p>
            <w:r>
              <w:rPr>
                <w:rFonts w:ascii="맑은 고딕" w:hAnsi="맑은 고딕" w:eastAsia="맑은 고딕"/>
                <w:sz w:val="17"/>
              </w:rPr>
              <w:t>489개</w:t>
            </w:r>
          </w:p>
        </w:tc>
        <w:tc>
          <w:tcPr>
            <w:tcW w:type="dxa" w:w="2160"/>
          </w:tcPr>
          <w:p>
            <w:r>
              <w:rPr>
                <w:rFonts w:ascii="맑은 고딕" w:hAnsi="맑은 고딕" w:eastAsia="맑은 고딕"/>
                <w:sz w:val="17"/>
              </w:rPr>
              <w:t>421개</w:t>
            </w:r>
          </w:p>
        </w:tc>
        <w:tc>
          <w:tcPr>
            <w:tcW w:type="dxa" w:w="2160"/>
          </w:tcPr>
          <w:p>
            <w:r>
              <w:rPr>
                <w:rFonts w:ascii="맑은 고딕" w:hAnsi="맑은 고딕" w:eastAsia="맑은 고딕"/>
                <w:sz w:val="17"/>
              </w:rPr>
              <w:t>-68</w:t>
            </w:r>
          </w:p>
        </w:tc>
      </w:tr>
      <w:tr>
        <w:tc>
          <w:tcPr>
            <w:tcW w:type="dxa" w:w="2160"/>
          </w:tcPr>
          <w:p>
            <w:r>
              <w:rPr>
                <w:rFonts w:ascii="맑은 고딕" w:hAnsi="맑은 고딕" w:eastAsia="맑은 고딕"/>
                <w:sz w:val="17"/>
              </w:rPr>
              <w:t>실제 동명이작</w:t>
            </w:r>
          </w:p>
        </w:tc>
        <w:tc>
          <w:tcPr>
            <w:tcW w:type="dxa" w:w="2160"/>
          </w:tcPr>
          <w:p>
            <w:r>
              <w:rPr>
                <w:rFonts w:ascii="맑은 고딕" w:hAnsi="맑은 고딕" w:eastAsia="맑은 고딕"/>
                <w:sz w:val="17"/>
              </w:rPr>
              <w:t>96건</w:t>
            </w:r>
          </w:p>
        </w:tc>
        <w:tc>
          <w:tcPr>
            <w:tcW w:type="dxa" w:w="2160"/>
          </w:tcPr>
          <w:p>
            <w:r>
              <w:rPr>
                <w:rFonts w:ascii="맑은 고딕" w:hAnsi="맑은 고딕" w:eastAsia="맑은 고딕"/>
                <w:sz w:val="17"/>
              </w:rPr>
              <w:t>96건</w:t>
            </w:r>
          </w:p>
        </w:tc>
        <w:tc>
          <w:tcPr>
            <w:tcW w:type="dxa" w:w="2160"/>
          </w:tcPr>
          <w:p>
            <w:r>
              <w:rPr>
                <w:rFonts w:ascii="맑은 고딕" w:hAnsi="맑은 고딕" w:eastAsia="맑은 고딕"/>
                <w:sz w:val="17"/>
              </w:rPr>
              <w:t>0</w:t>
            </w:r>
          </w:p>
        </w:tc>
      </w:tr>
      <w:tr>
        <w:tc>
          <w:tcPr>
            <w:tcW w:type="dxa" w:w="2160"/>
          </w:tcPr>
          <w:p>
            <w:r>
              <w:rPr>
                <w:rFonts w:ascii="맑은 고딕" w:hAnsi="맑은 고딕" w:eastAsia="맑은 고딕"/>
                <w:sz w:val="17"/>
              </w:rPr>
              <w:t>정산 총액</w:t>
            </w:r>
          </w:p>
        </w:tc>
        <w:tc>
          <w:tcPr>
            <w:tcW w:type="dxa" w:w="2160"/>
          </w:tcPr>
          <w:p>
            <w:r>
              <w:rPr>
                <w:rFonts w:ascii="맑은 고딕" w:hAnsi="맑은 고딕" w:eastAsia="맑은 고딕"/>
                <w:sz w:val="17"/>
              </w:rPr>
              <w:t>1,181,775,236원</w:t>
            </w:r>
          </w:p>
        </w:tc>
        <w:tc>
          <w:tcPr>
            <w:tcW w:type="dxa" w:w="2160"/>
          </w:tcPr>
          <w:p>
            <w:r>
              <w:rPr>
                <w:rFonts w:ascii="맑은 고딕" w:hAnsi="맑은 고딕" w:eastAsia="맑은 고딕"/>
                <w:sz w:val="17"/>
              </w:rPr>
              <w:t>1,181,775,236원</w:t>
            </w:r>
          </w:p>
        </w:tc>
        <w:tc>
          <w:tcPr>
            <w:tcW w:type="dxa" w:w="2160"/>
          </w:tcPr>
          <w:p>
            <w:r>
              <w:rPr>
                <w:rFonts w:ascii="맑은 고딕" w:hAnsi="맑은 고딕" w:eastAsia="맑은 고딕"/>
                <w:sz w:val="17"/>
              </w:rPr>
              <w:t>0</w:t>
            </w:r>
          </w:p>
        </w:tc>
      </w:tr>
      <w:tr>
        <w:tc>
          <w:tcPr>
            <w:tcW w:type="dxa" w:w="2160"/>
          </w:tcPr>
          <w:p>
            <w:r>
              <w:rPr>
                <w:rFonts w:ascii="맑은 고딕" w:hAnsi="맑은 고딕" w:eastAsia="맑은 고딕"/>
                <w:sz w:val="17"/>
              </w:rPr>
              <w:t>완전매칭 행</w:t>
            </w:r>
          </w:p>
        </w:tc>
        <w:tc>
          <w:tcPr>
            <w:tcW w:type="dxa" w:w="2160"/>
          </w:tcPr>
          <w:p>
            <w:r>
              <w:rPr>
                <w:rFonts w:ascii="맑은 고딕" w:hAnsi="맑은 고딕" w:eastAsia="맑은 고딕"/>
                <w:sz w:val="17"/>
              </w:rPr>
              <w:t>429,119</w:t>
            </w:r>
          </w:p>
        </w:tc>
        <w:tc>
          <w:tcPr>
            <w:tcW w:type="dxa" w:w="2160"/>
          </w:tcPr>
          <w:p>
            <w:r>
              <w:rPr>
                <w:rFonts w:ascii="맑은 고딕" w:hAnsi="맑은 고딕" w:eastAsia="맑은 고딕"/>
                <w:sz w:val="17"/>
              </w:rPr>
              <w:t>429,119</w:t>
            </w:r>
          </w:p>
        </w:tc>
        <w:tc>
          <w:tcPr>
            <w:tcW w:type="dxa" w:w="2160"/>
          </w:tcPr>
          <w:p>
            <w:r>
              <w:rPr>
                <w:rFonts w:ascii="맑은 고딕" w:hAnsi="맑은 고딕" w:eastAsia="맑은 고딕"/>
                <w:sz w:val="17"/>
              </w:rPr>
              <w:t>0</w:t>
            </w:r>
          </w:p>
        </w:tc>
      </w:tr>
    </w:tbl>
    <w:p>
      <w:r>
        <w:rPr>
          <w:rFonts w:ascii="맑은 고딕" w:hAnsi="맑은 고딕" w:eastAsia="맑은 고딕"/>
        </w:rPr>
      </w:r>
    </w:p>
    <w:p>
      <w:r>
        <w:rPr>
          <w:rFonts w:ascii="맑은 고딕" w:hAnsi="맑은 고딕" w:eastAsia="맑은 고딕"/>
        </w:rPr>
      </w:r>
      <w:r>
        <w:rPr>
          <w:rFonts w:ascii="맑은 고딕" w:hAnsi="맑은 고딕" w:eastAsia="맑은 고딕"/>
        </w:rPr>
        <w:t>정산 금액에 전혀 영향을 주지 않으면서(작가 식별 키만 통합) 같은 작가 100명·68개 작품의 분산 해소. 실제 동명이작 96건은 하나도 잘못 합치지 않음. 기존 2·3월 파이프라인 회귀 0건으로 하위호환 유지. 진단에서 규칙 반영, 재측정까지 연구소의 한 주기를 완결한 사례.</w:t>
      </w:r>
      <w:r>
        <w:rPr>
          <w:rFonts w:ascii="맑은 고딕" w:hAnsi="맑은 고딕" w:eastAsia="맑은 고딕"/>
        </w:rPr>
      </w:r>
    </w:p>
    <w:p>
      <w:r>
        <w:rPr>
          <w:rFonts w:ascii="맑은 고딕" w:hAnsi="맑은 고딕" w:eastAsia="맑은 고딕"/>
        </w:rPr>
      </w:r>
      <w:r>
        <w:rPr>
          <w:rFonts w:ascii="맑은 고딕" w:hAnsi="맑은 고딕" w:eastAsia="맑은 고딕"/>
        </w:rPr>
        <w:t>남은 동명이작 96건(위험액 약 47만원)은 자동 분리 시 오판 위험이 있어 연구소 검토 절차에서 담당자가 분리를 확정하는 다음 단계로 이관. 자동 적용을 하지 않고 승인·감사 추적을 유지하는 시스템의 일관 원칙에 따름.</w:t>
      </w:r>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4. 주요 개선 사항</w:t>
      </w:r>
      <w:r>
        <w:rPr>
          <w:rFonts w:ascii="맑은 고딕" w:hAnsi="맑은 고딕" w:eastAsia="맑은 고딕"/>
        </w:rPr>
      </w:r>
    </w:p>
    <w:p>
      <w:pPr>
        <w:pStyle w:val="Heading3"/>
      </w:pPr>
      <w:r>
        <w:rPr>
          <w:rFonts w:ascii="맑은 고딕" w:hAnsi="맑은 고딕" w:eastAsia="맑은 고딕"/>
        </w:rPr>
        <w:t>4.1 데이터 처리 범위 확대</w:t>
      </w:r>
      <w:r>
        <w:rPr>
          <w:rFonts w:ascii="맑은 고딕" w:hAnsi="맑은 고딕" w:eastAsia="맑은 고딕"/>
        </w:rPr>
      </w:r>
    </w:p>
    <w:p>
      <w:r>
        <w:rPr>
          <w:rFonts w:ascii="맑은 고딕" w:hAnsi="맑은 고딕" w:eastAsia="맑은 고딕"/>
        </w:rPr>
      </w:r>
      <w:r>
        <w:rPr>
          <w:rFonts w:ascii="맑은 고딕" w:hAnsi="맑은 고딕" w:eastAsia="맑은 고딕"/>
          <w:b/>
        </w:rPr>
        <w:t>신규 플랫폼 편입(교보문고·모픽).</w:t>
      </w:r>
      <w:r>
        <w:rPr>
          <w:rFonts w:ascii="맑은 고딕" w:hAnsi="맑은 고딕" w:eastAsia="맑은 고딕"/>
        </w:rPr>
        <w:t xml:space="preserve"> 과거 자동 취합 불가였던 두 플랫폼을 파서에 정식 등록. 모픽은 작가·출판사·매출·정산액을 모두 제공하며 유통대행 신호(제공사=스토린랩) 포함. 교보문고는 기관 납품형으로 한 도서가 납품처별 다중 행으로 나뉘어 합산 처리 필요, ISBN 보유로 향후 작품 식별의 정밀 키로 활용 가능. 교보문고는 원본 합계와 자동 대사 결과 정확히 일치(1월 2,155,698원, 4월 3,035,099원).</w:t>
      </w:r>
      <w:r>
        <w:rPr>
          <w:rFonts w:ascii="맑은 고딕" w:hAnsi="맑은 고딕" w:eastAsia="맑은 고딕"/>
        </w:rPr>
      </w:r>
    </w:p>
    <w:p>
      <w:r>
        <w:rPr>
          <w:rFonts w:ascii="맑은 고딕" w:hAnsi="맑은 고딕" w:eastAsia="맑은 고딕"/>
        </w:rPr>
      </w:r>
      <w:r>
        <w:rPr>
          <w:rFonts w:ascii="맑은 고딕" w:hAnsi="맑은 고딕" w:eastAsia="맑은 고딕"/>
          <w:b/>
        </w:rPr>
        <w:t>대상 기간 확장(2개월에서 4개월).</w:t>
      </w:r>
      <w:r>
        <w:rPr>
          <w:rFonts w:ascii="맑은 고딕" w:hAnsi="맑은 고딕" w:eastAsia="맑은 고딕"/>
        </w:rPr>
        <w:t xml:space="preserve"> 1·4월 추가. 다중 소스 통합 시 중복 파일 제거로 정산액 이중 계상 차단.</w:t>
      </w:r>
      <w:r>
        <w:rPr>
          <w:rFonts w:ascii="맑은 고딕" w:hAnsi="맑은 고딕" w:eastAsia="맑은 고딕"/>
        </w:rPr>
      </w:r>
    </w:p>
    <w:p>
      <w:r>
        <w:rPr>
          <w:rFonts w:ascii="맑은 고딕" w:hAnsi="맑은 고딕" w:eastAsia="맑은 고딕"/>
        </w:rPr>
      </w:r>
      <w:r>
        <w:rPr>
          <w:rFonts w:ascii="맑은 고딕" w:hAnsi="맑은 고딕" w:eastAsia="맑은 고딕"/>
          <w:b/>
        </w:rPr>
        <w:t>신규 월 양식 변동 대응(67,400행 복구).</w:t>
      </w:r>
      <w:r>
        <w:rPr>
          <w:rFonts w:ascii="맑은 고딕" w:hAnsi="맑은 고딕" w:eastAsia="맑은 고딕"/>
        </w:rPr>
        <w:t xml:space="preserve"> 신규 월에서 파일 명명·양식이 바뀐 사례 발견·수정. 기존 규칙이었다면 누락되었을 데이터.</w:t>
      </w:r>
      <w:r>
        <w:rPr>
          <w:rFonts w:ascii="맑은 고딕" w:hAnsi="맑은 고딕" w:eastAsia="맑은 고딕"/>
        </w:rPr>
      </w:r>
    </w:p>
    <w:tbl>
      <w:tblPr>
        <w:tblStyle w:val="TableGrid"/>
        <w:tblW w:type="auto" w:w="0"/>
        <w:tblLook w:firstColumn="1" w:firstRow="1" w:lastColumn="0" w:lastRow="0" w:noHBand="0" w:noVBand="1" w:val="04A0"/>
      </w:tblPr>
      <w:tblGrid>
        <w:gridCol w:w="2880"/>
        <w:gridCol w:w="2880"/>
        <w:gridCol w:w="2880"/>
      </w:tblGrid>
      <w:tr>
        <w:tc>
          <w:tcPr>
            <w:tcW w:type="dxa" w:w="2880"/>
            <w:shd w:val="clear" w:fill="ECECEC"/>
          </w:tcPr>
          <w:p>
            <w:r>
              <w:rPr>
                <w:rFonts w:ascii="맑은 고딕" w:hAnsi="맑은 고딕" w:eastAsia="맑은 고딕"/>
                <w:b/>
                <w:sz w:val="17"/>
              </w:rPr>
              <w:t>변동</w:t>
            </w:r>
          </w:p>
        </w:tc>
        <w:tc>
          <w:tcPr>
            <w:tcW w:type="dxa" w:w="2880"/>
            <w:shd w:val="clear" w:fill="ECECEC"/>
          </w:tcPr>
          <w:p>
            <w:r>
              <w:rPr>
                <w:rFonts w:ascii="맑은 고딕" w:hAnsi="맑은 고딕" w:eastAsia="맑은 고딕"/>
                <w:b/>
                <w:sz w:val="17"/>
              </w:rPr>
              <w:t>내용</w:t>
            </w:r>
          </w:p>
        </w:tc>
        <w:tc>
          <w:tcPr>
            <w:tcW w:type="dxa" w:w="2880"/>
            <w:shd w:val="clear" w:fill="ECECEC"/>
          </w:tcPr>
          <w:p>
            <w:r>
              <w:rPr>
                <w:rFonts w:ascii="맑은 고딕" w:hAnsi="맑은 고딕" w:eastAsia="맑은 고딕"/>
                <w:b/>
                <w:sz w:val="17"/>
              </w:rPr>
              <w:t>복구 행수</w:t>
            </w:r>
          </w:p>
        </w:tc>
      </w:tr>
      <w:tr>
        <w:tc>
          <w:tcPr>
            <w:tcW w:type="dxa" w:w="2880"/>
          </w:tcPr>
          <w:p>
            <w:r>
              <w:rPr>
                <w:rFonts w:ascii="맑은 고딕" w:hAnsi="맑은 고딕" w:eastAsia="맑은 고딕"/>
                <w:sz w:val="17"/>
              </w:rPr>
              <w:t>원스토어</w:t>
            </w:r>
          </w:p>
        </w:tc>
        <w:tc>
          <w:tcPr>
            <w:tcW w:type="dxa" w:w="2880"/>
          </w:tcPr>
          <w:p>
            <w:r>
              <w:rPr>
                <w:rFonts w:ascii="맑은 고딕" w:hAnsi="맑은 고딕" w:eastAsia="맑은 고딕"/>
                <w:sz w:val="17"/>
              </w:rPr>
              <w:t>동일 플랫폼의 파일명 표기 변경("원스토리"→"원스토어"). 시트·컬럼 구조 동일</w:t>
            </w:r>
          </w:p>
        </w:tc>
        <w:tc>
          <w:tcPr>
            <w:tcW w:type="dxa" w:w="2880"/>
          </w:tcPr>
          <w:p>
            <w:r>
              <w:rPr>
                <w:rFonts w:ascii="맑은 고딕" w:hAnsi="맑은 고딕" w:eastAsia="맑은 고딕"/>
                <w:sz w:val="17"/>
              </w:rPr>
              <w:t>66,962행</w:t>
            </w:r>
          </w:p>
        </w:tc>
      </w:tr>
      <w:tr>
        <w:tc>
          <w:tcPr>
            <w:tcW w:type="dxa" w:w="2880"/>
          </w:tcPr>
          <w:p>
            <w:r>
              <w:rPr>
                <w:rFonts w:ascii="맑은 고딕" w:hAnsi="맑은 고딕" w:eastAsia="맑은 고딕"/>
                <w:sz w:val="17"/>
              </w:rPr>
              <w:t>로망띠끄</w:t>
            </w:r>
          </w:p>
        </w:tc>
        <w:tc>
          <w:tcPr>
            <w:tcW w:type="dxa" w:w="2880"/>
          </w:tcPr>
          <w:p>
            <w:r>
              <w:rPr>
                <w:rFonts w:ascii="맑은 고딕" w:hAnsi="맑은 고딕" w:eastAsia="맑은 고딕"/>
                <w:sz w:val="17"/>
              </w:rPr>
              <w:t>"단행본"에서 "전자책", 파일명 오타</w:t>
            </w:r>
          </w:p>
        </w:tc>
        <w:tc>
          <w:tcPr>
            <w:tcW w:type="dxa" w:w="2880"/>
          </w:tcPr>
          <w:p>
            <w:r>
              <w:rPr>
                <w:rFonts w:ascii="맑은 고딕" w:hAnsi="맑은 고딕" w:eastAsia="맑은 고딕"/>
                <w:sz w:val="17"/>
              </w:rPr>
              <w:t>301행</w:t>
            </w:r>
          </w:p>
        </w:tc>
      </w:tr>
      <w:tr>
        <w:tc>
          <w:tcPr>
            <w:tcW w:type="dxa" w:w="2880"/>
          </w:tcPr>
          <w:p>
            <w:r>
              <w:rPr>
                <w:rFonts w:ascii="맑은 고딕" w:hAnsi="맑은 고딕" w:eastAsia="맑은 고딕"/>
                <w:sz w:val="17"/>
              </w:rPr>
              <w:t>노벨피아</w:t>
            </w:r>
          </w:p>
        </w:tc>
        <w:tc>
          <w:tcPr>
            <w:tcW w:type="dxa" w:w="2880"/>
          </w:tcPr>
          <w:p>
            <w:r>
              <w:rPr>
                <w:rFonts w:ascii="맑은 고딕" w:hAnsi="맑은 고딕" w:eastAsia="맑은 고딕"/>
                <w:sz w:val="17"/>
              </w:rPr>
              <w:t>상세 양식 파일 명명 변경</w:t>
            </w:r>
          </w:p>
        </w:tc>
        <w:tc>
          <w:tcPr>
            <w:tcW w:type="dxa" w:w="2880"/>
          </w:tcPr>
          <w:p>
            <w:r>
              <w:rPr>
                <w:rFonts w:ascii="맑은 고딕" w:hAnsi="맑은 고딕" w:eastAsia="맑은 고딕"/>
                <w:sz w:val="17"/>
              </w:rPr>
              <w:t>128행</w:t>
            </w:r>
          </w:p>
        </w:tc>
      </w:tr>
      <w:tr>
        <w:tc>
          <w:tcPr>
            <w:tcW w:type="dxa" w:w="2880"/>
          </w:tcPr>
          <w:p>
            <w:r>
              <w:rPr>
                <w:rFonts w:ascii="맑은 고딕" w:hAnsi="맑은 고딕" w:eastAsia="맑은 고딕"/>
                <w:sz w:val="17"/>
              </w:rPr>
              <w:t>알라딘 B2B</w:t>
            </w:r>
          </w:p>
        </w:tc>
        <w:tc>
          <w:tcPr>
            <w:tcW w:type="dxa" w:w="2880"/>
          </w:tcPr>
          <w:p>
            <w:r>
              <w:rPr>
                <w:rFonts w:ascii="맑은 고딕" w:hAnsi="맑은 고딕" w:eastAsia="맑은 고딕"/>
                <w:sz w:val="17"/>
              </w:rPr>
              <w:t>기관 납품 양식 추가</w:t>
            </w:r>
          </w:p>
        </w:tc>
        <w:tc>
          <w:tcPr>
            <w:tcW w:type="dxa" w:w="2880"/>
          </w:tcPr>
          <w:p>
            <w:r>
              <w:rPr>
                <w:rFonts w:ascii="맑은 고딕" w:hAnsi="맑은 고딕" w:eastAsia="맑은 고딕"/>
                <w:sz w:val="17"/>
              </w:rPr>
              <w:t>9행</w:t>
            </w:r>
          </w:p>
        </w:tc>
      </w:tr>
    </w:tbl>
    <w:p>
      <w:r>
        <w:rPr>
          <w:rFonts w:ascii="맑은 고딕" w:hAnsi="맑은 고딕" w:eastAsia="맑은 고딕"/>
        </w:rPr>
      </w:r>
    </w:p>
    <w:p>
      <w:pPr>
        <w:pStyle w:val="Heading3"/>
      </w:pPr>
      <w:r>
        <w:rPr>
          <w:rFonts w:ascii="맑은 고딕" w:hAnsi="맑은 고딕" w:eastAsia="맑은 고딕"/>
        </w:rPr>
        <w:t>4.2 신규 플랫폼의 교차참조 효과</w:t>
      </w:r>
      <w:r>
        <w:rPr>
          <w:rFonts w:ascii="맑은 고딕" w:hAnsi="맑은 고딕" w:eastAsia="맑은 고딕"/>
        </w:rPr>
      </w:r>
    </w:p>
    <w:p>
      <w:r>
        <w:rPr>
          <w:rFonts w:ascii="맑은 고딕" w:hAnsi="맑은 고딕" w:eastAsia="맑은 고딕"/>
        </w:rPr>
      </w:r>
      <w:r>
        <w:rPr>
          <w:rFonts w:ascii="맑은 고딕" w:hAnsi="맑은 고딕" w:eastAsia="맑은 고딕"/>
        </w:rPr>
        <w:t>동일한 2·3월 기간에 모픽·교보 추가 시, 두 플랫폼의 행이 더해진 것에 그치지 않고 기존 플랫폼 행의 매칭도 개선. 공유 마스터 보강의 결과.</w:t>
      </w:r>
      <w:r>
        <w:rPr>
          <w:rFonts w:ascii="맑은 고딕" w:hAnsi="맑은 고딕" w:eastAsia="맑은 고딕"/>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CECEC"/>
          </w:tcPr>
          <w:p>
            <w:r>
              <w:rPr>
                <w:rFonts w:ascii="맑은 고딕" w:hAnsi="맑은 고딕" w:eastAsia="맑은 고딕"/>
                <w:b/>
                <w:sz w:val="17"/>
              </w:rPr>
              <w:t>지표</w:t>
            </w:r>
          </w:p>
        </w:tc>
        <w:tc>
          <w:tcPr>
            <w:tcW w:type="dxa" w:w="2160"/>
            <w:shd w:val="clear" w:fill="ECECEC"/>
          </w:tcPr>
          <w:p>
            <w:r>
              <w:rPr>
                <w:rFonts w:ascii="맑은 고딕" w:hAnsi="맑은 고딕" w:eastAsia="맑은 고딕"/>
                <w:b/>
                <w:sz w:val="17"/>
              </w:rPr>
              <w:t>기존 규칙</w:t>
            </w:r>
          </w:p>
        </w:tc>
        <w:tc>
          <w:tcPr>
            <w:tcW w:type="dxa" w:w="2160"/>
            <w:shd w:val="clear" w:fill="ECECEC"/>
          </w:tcPr>
          <w:p>
            <w:r>
              <w:rPr>
                <w:rFonts w:ascii="맑은 고딕" w:hAnsi="맑은 고딕" w:eastAsia="맑은 고딕"/>
                <w:b/>
                <w:sz w:val="17"/>
              </w:rPr>
              <w:t>모픽·교보 추가</w:t>
            </w:r>
          </w:p>
        </w:tc>
        <w:tc>
          <w:tcPr>
            <w:tcW w:type="dxa" w:w="2160"/>
            <w:shd w:val="clear" w:fill="ECECEC"/>
          </w:tcPr>
          <w:p>
            <w:r>
              <w:rPr>
                <w:rFonts w:ascii="맑은 고딕" w:hAnsi="맑은 고딕" w:eastAsia="맑은 고딕"/>
                <w:b/>
                <w:sz w:val="17"/>
              </w:rPr>
              <w:t>효과</w:t>
            </w:r>
          </w:p>
        </w:tc>
      </w:tr>
      <w:tr>
        <w:tc>
          <w:tcPr>
            <w:tcW w:type="dxa" w:w="2160"/>
          </w:tcPr>
          <w:p>
            <w:r>
              <w:rPr>
                <w:rFonts w:ascii="맑은 고딕" w:hAnsi="맑은 고딕" w:eastAsia="맑은 고딕"/>
                <w:sz w:val="17"/>
              </w:rPr>
              <w:t>처리 행</w:t>
            </w:r>
          </w:p>
        </w:tc>
        <w:tc>
          <w:tcPr>
            <w:tcW w:type="dxa" w:w="2160"/>
          </w:tcPr>
          <w:p>
            <w:r>
              <w:rPr>
                <w:rFonts w:ascii="맑은 고딕" w:hAnsi="맑은 고딕" w:eastAsia="맑은 고딕"/>
                <w:sz w:val="17"/>
              </w:rPr>
              <w:t>145,018</w:t>
            </w:r>
          </w:p>
        </w:tc>
        <w:tc>
          <w:tcPr>
            <w:tcW w:type="dxa" w:w="2160"/>
          </w:tcPr>
          <w:p>
            <w:r>
              <w:rPr>
                <w:rFonts w:ascii="맑은 고딕" w:hAnsi="맑은 고딕" w:eastAsia="맑은 고딕"/>
                <w:sz w:val="17"/>
              </w:rPr>
              <w:t>155,173</w:t>
            </w:r>
          </w:p>
        </w:tc>
        <w:tc>
          <w:tcPr>
            <w:tcW w:type="dxa" w:w="2160"/>
          </w:tcPr>
          <w:p>
            <w:r>
              <w:rPr>
                <w:rFonts w:ascii="맑은 고딕" w:hAnsi="맑은 고딕" w:eastAsia="맑은 고딕"/>
                <w:sz w:val="17"/>
              </w:rPr>
              <w:t>+10,155</w:t>
            </w:r>
          </w:p>
        </w:tc>
      </w:tr>
      <w:tr>
        <w:tc>
          <w:tcPr>
            <w:tcW w:type="dxa" w:w="2160"/>
          </w:tcPr>
          <w:p>
            <w:r>
              <w:rPr>
                <w:rFonts w:ascii="맑은 고딕" w:hAnsi="맑은 고딕" w:eastAsia="맑은 고딕"/>
                <w:sz w:val="17"/>
              </w:rPr>
              <w:t>완전매칭률</w:t>
            </w:r>
          </w:p>
        </w:tc>
        <w:tc>
          <w:tcPr>
            <w:tcW w:type="dxa" w:w="2160"/>
          </w:tcPr>
          <w:p>
            <w:r>
              <w:rPr>
                <w:rFonts w:ascii="맑은 고딕" w:hAnsi="맑은 고딕" w:eastAsia="맑은 고딕"/>
                <w:sz w:val="17"/>
              </w:rPr>
              <w:t>98.1%</w:t>
            </w:r>
          </w:p>
        </w:tc>
        <w:tc>
          <w:tcPr>
            <w:tcW w:type="dxa" w:w="2160"/>
          </w:tcPr>
          <w:p>
            <w:r>
              <w:rPr>
                <w:rFonts w:ascii="맑은 고딕" w:hAnsi="맑은 고딕" w:eastAsia="맑은 고딕"/>
                <w:sz w:val="17"/>
              </w:rPr>
              <w:t>98.6%</w:t>
            </w:r>
          </w:p>
        </w:tc>
        <w:tc>
          <w:tcPr>
            <w:tcW w:type="dxa" w:w="2160"/>
          </w:tcPr>
          <w:p>
            <w:r>
              <w:rPr>
                <w:rFonts w:ascii="맑은 고딕" w:hAnsi="맑은 고딕" w:eastAsia="맑은 고딕"/>
                <w:sz w:val="17"/>
              </w:rPr>
              <w:t>+0.5%p</w:t>
            </w:r>
          </w:p>
        </w:tc>
      </w:tr>
      <w:tr>
        <w:tc>
          <w:tcPr>
            <w:tcW w:type="dxa" w:w="2160"/>
          </w:tcPr>
          <w:p>
            <w:r>
              <w:rPr>
                <w:rFonts w:ascii="맑은 고딕" w:hAnsi="맑은 고딕" w:eastAsia="맑은 고딕"/>
                <w:sz w:val="17"/>
              </w:rPr>
              <w:t>미매칭(번들 제외)</w:t>
            </w:r>
          </w:p>
        </w:tc>
        <w:tc>
          <w:tcPr>
            <w:tcW w:type="dxa" w:w="2160"/>
          </w:tcPr>
          <w:p>
            <w:r>
              <w:rPr>
                <w:rFonts w:ascii="맑은 고딕" w:hAnsi="맑은 고딕" w:eastAsia="맑은 고딕"/>
                <w:sz w:val="17"/>
              </w:rPr>
              <w:t>217행</w:t>
            </w:r>
          </w:p>
        </w:tc>
        <w:tc>
          <w:tcPr>
            <w:tcW w:type="dxa" w:w="2160"/>
          </w:tcPr>
          <w:p>
            <w:r>
              <w:rPr>
                <w:rFonts w:ascii="맑은 고딕" w:hAnsi="맑은 고딕" w:eastAsia="맑은 고딕"/>
                <w:sz w:val="17"/>
              </w:rPr>
              <w:t>189행</w:t>
            </w:r>
          </w:p>
        </w:tc>
        <w:tc>
          <w:tcPr>
            <w:tcW w:type="dxa" w:w="2160"/>
          </w:tcPr>
          <w:p>
            <w:r>
              <w:rPr>
                <w:rFonts w:ascii="맑은 고딕" w:hAnsi="맑은 고딕" w:eastAsia="맑은 고딕"/>
                <w:sz w:val="17"/>
              </w:rPr>
              <w:t>-28</w:t>
            </w:r>
          </w:p>
        </w:tc>
      </w:tr>
    </w:tbl>
    <w:p>
      <w:r>
        <w:rPr>
          <w:rFonts w:ascii="맑은 고딕" w:hAnsi="맑은 고딕" w:eastAsia="맑은 고딕"/>
        </w:rPr>
      </w:r>
    </w:p>
    <w:p>
      <w:r>
        <w:rPr>
          <w:rFonts w:ascii="맑은 고딕" w:hAnsi="맑은 고딕" w:eastAsia="맑은 고딕"/>
        </w:rPr>
      </w:r>
      <w:r>
        <w:rPr>
          <w:rFonts w:ascii="맑은 고딕" w:hAnsi="맑은 고딕" w:eastAsia="맑은 고딕"/>
        </w:rPr>
        <w:t>기존 플랫폼 행 572건의 매칭 개선(작가만 매칭에서 완전매칭으로 544행, 미매칭에서 완전매칭으로 28행).</w:t>
      </w:r>
      <w:r>
        <w:rPr>
          <w:rFonts w:ascii="맑은 고딕" w:hAnsi="맑은 고딕" w:eastAsia="맑은 고딕"/>
        </w:rPr>
      </w:r>
    </w:p>
    <w:p>
      <w:pPr>
        <w:pStyle w:val="Heading3"/>
      </w:pPr>
      <w:r>
        <w:rPr>
          <w:rFonts w:ascii="맑은 고딕" w:hAnsi="맑은 고딕" w:eastAsia="맑은 고딕"/>
        </w:rPr>
        <w:t>4.3 유통대행 모드 기반 마련</w:t>
      </w:r>
      <w:r>
        <w:rPr>
          <w:rFonts w:ascii="맑은 고딕" w:hAnsi="맑은 고딕" w:eastAsia="맑은 고딕"/>
        </w:rPr>
      </w:r>
    </w:p>
    <w:p>
      <w:r>
        <w:rPr>
          <w:rFonts w:ascii="맑은 고딕" w:hAnsi="맑은 고딕" w:eastAsia="맑은 고딕"/>
        </w:rPr>
      </w:r>
      <w:r>
        <w:rPr>
          <w:rFonts w:ascii="맑은 고딕" w:hAnsi="맑은 고딕" w:eastAsia="맑은 고딕"/>
        </w:rPr>
        <w:t>솔루션을 유통대행(공급자) 사업의 기반으로 삼는 방향을 데이터 구조에 반영. 측정 결과 기존 가정과 달리 실데이터에 출판사 정보가 상당 부분 존재(고유 출판사 946종, 식별률 99.5%, 미상 1.17%). 표준 스키마에 제공사·유통대행 여부 필드 추가, 스토린랩이 각 출판사에 정산할 금액을 집계하는 출판사별 정산 뷰 신설(상위: 매드햇 3.57억원, 도서출판 청어람 1.06억원 등).</w:t>
      </w:r>
      <w:r>
        <w:rPr>
          <w:rFonts w:ascii="맑은 고딕" w:hAnsi="맑은 고딕" w:eastAsia="맑은 고딕"/>
        </w:rPr>
      </w:r>
    </w:p>
    <w:p>
      <w:pPr>
        <w:pStyle w:val="Heading3"/>
      </w:pPr>
      <w:r>
        <w:rPr>
          <w:rFonts w:ascii="맑은 고딕" w:hAnsi="맑은 고딕" w:eastAsia="맑은 고딕"/>
        </w:rPr>
        <w:t>4.4 미매칭 보드 운영 기능</w:t>
      </w:r>
      <w:r>
        <w:rPr>
          <w:rFonts w:ascii="맑은 고딕" w:hAnsi="맑은 고딕" w:eastAsia="맑은 고딕"/>
        </w:rPr>
      </w:r>
    </w:p>
    <w:p>
      <w:r>
        <w:rPr>
          <w:rFonts w:ascii="맑은 고딕" w:hAnsi="맑은 고딕" w:eastAsia="맑은 고딕"/>
        </w:rPr>
      </w:r>
      <w:r>
        <w:rPr>
          <w:rFonts w:ascii="맑은 고딕" w:hAnsi="맑은 고딕" w:eastAsia="맑은 고딕"/>
        </w:rPr>
        <w:t>AI 제안·외부 도서 DB 조회 결과에 전체선택·선택승인·전체승인 추가. 결정 이력에서 복원(되돌리기) 기능과 사유 입력, 전체선택 복원 지원. 복원 시 등록 이전 매칭 상태로 환원, 모든 행위는 감사 추적 기록으로 보존.</w:t>
      </w:r>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5. 정량 성과</w:t>
      </w:r>
      <w:r>
        <w:rPr>
          <w:rFonts w:ascii="맑은 고딕" w:hAnsi="맑은 고딕" w:eastAsia="맑은 고딕"/>
        </w:rPr>
      </w:r>
    </w:p>
    <w:tbl>
      <w:tblPr>
        <w:tblStyle w:val="TableGrid"/>
        <w:tblW w:type="auto" w:w="0"/>
        <w:tblLook w:firstColumn="1" w:firstRow="1" w:lastColumn="0" w:lastRow="0" w:noHBand="0" w:noVBand="1" w:val="04A0"/>
      </w:tblPr>
      <w:tblGrid>
        <w:gridCol w:w="4320"/>
        <w:gridCol w:w="4320"/>
      </w:tblGrid>
      <w:tr>
        <w:tc>
          <w:tcPr>
            <w:tcW w:type="dxa" w:w="4320"/>
            <w:shd w:val="clear" w:fill="ECECEC"/>
          </w:tcPr>
          <w:p>
            <w:r>
              <w:rPr>
                <w:rFonts w:ascii="맑은 고딕" w:hAnsi="맑은 고딕" w:eastAsia="맑은 고딕"/>
                <w:b/>
                <w:sz w:val="17"/>
              </w:rPr>
              <w:t>구분</w:t>
            </w:r>
          </w:p>
        </w:tc>
        <w:tc>
          <w:tcPr>
            <w:tcW w:type="dxa" w:w="4320"/>
            <w:shd w:val="clear" w:fill="ECECEC"/>
          </w:tcPr>
          <w:p>
            <w:r>
              <w:rPr>
                <w:rFonts w:ascii="맑은 고딕" w:hAnsi="맑은 고딕" w:eastAsia="맑은 고딕"/>
                <w:b/>
                <w:sz w:val="17"/>
              </w:rPr>
              <w:t>내용</w:t>
            </w:r>
          </w:p>
        </w:tc>
      </w:tr>
      <w:tr>
        <w:tc>
          <w:tcPr>
            <w:tcW w:type="dxa" w:w="4320"/>
          </w:tcPr>
          <w:p>
            <w:r>
              <w:rPr>
                <w:rFonts w:ascii="맑은 고딕" w:hAnsi="맑은 고딕" w:eastAsia="맑은 고딕"/>
                <w:sz w:val="17"/>
              </w:rPr>
              <w:t>처리 규모</w:t>
            </w:r>
          </w:p>
        </w:tc>
        <w:tc>
          <w:tcPr>
            <w:tcW w:type="dxa" w:w="4320"/>
          </w:tcPr>
          <w:p>
            <w:r>
              <w:rPr>
                <w:rFonts w:ascii="맑은 고딕" w:hAnsi="맑은 고딕" w:eastAsia="맑은 고딕"/>
                <w:sz w:val="17"/>
              </w:rPr>
              <w:t>파일 69 → 151개, 레코드 145,018 → 431,296행, 유통사 29 → 31곳, 4개월 정산총액 11.8억원</w:t>
            </w:r>
          </w:p>
        </w:tc>
      </w:tr>
      <w:tr>
        <w:tc>
          <w:tcPr>
            <w:tcW w:type="dxa" w:w="4320"/>
          </w:tcPr>
          <w:p>
            <w:r>
              <w:rPr>
                <w:rFonts w:ascii="맑은 고딕" w:hAnsi="맑은 고딕" w:eastAsia="맑은 고딕"/>
                <w:sz w:val="17"/>
              </w:rPr>
              <w:t>정확도</w:t>
            </w:r>
          </w:p>
        </w:tc>
        <w:tc>
          <w:tcPr>
            <w:tcW w:type="dxa" w:w="4320"/>
          </w:tcPr>
          <w:p>
            <w:r>
              <w:rPr>
                <w:rFonts w:ascii="맑은 고딕" w:hAnsi="맑은 고딕" w:eastAsia="맑은 고딕"/>
                <w:sz w:val="17"/>
              </w:rPr>
              <w:t>완전매칭률 99.5%(4개월), 미매칭 정산액 비중 0.08%(963,764원), 원본 합계 대사 통과 86건·실패 0건·파싱오류 0건</w:t>
            </w:r>
          </w:p>
        </w:tc>
      </w:tr>
      <w:tr>
        <w:tc>
          <w:tcPr>
            <w:tcW w:type="dxa" w:w="4320"/>
          </w:tcPr>
          <w:p>
            <w:r>
              <w:rPr>
                <w:rFonts w:ascii="맑은 고딕" w:hAnsi="맑은 고딕" w:eastAsia="맑은 고딕"/>
                <w:sz w:val="17"/>
              </w:rPr>
              <w:t>식별 자산</w:t>
            </w:r>
          </w:p>
        </w:tc>
        <w:tc>
          <w:tcPr>
            <w:tcW w:type="dxa" w:w="4320"/>
          </w:tcPr>
          <w:p>
            <w:r>
              <w:rPr>
                <w:rFonts w:ascii="맑은 고딕" w:hAnsi="맑은 고딕" w:eastAsia="맑은 고딕"/>
                <w:sz w:val="17"/>
              </w:rPr>
              <w:t>작가 6,068명, 시리즈 18,200개, 출판사 946개</w:t>
            </w:r>
          </w:p>
        </w:tc>
      </w:tr>
      <w:tr>
        <w:tc>
          <w:tcPr>
            <w:tcW w:type="dxa" w:w="4320"/>
          </w:tcPr>
          <w:p>
            <w:r>
              <w:rPr>
                <w:rFonts w:ascii="맑은 고딕" w:hAnsi="맑은 고딕" w:eastAsia="맑은 고딕"/>
                <w:sz w:val="17"/>
              </w:rPr>
              <w:t>안정성</w:t>
            </w:r>
          </w:p>
        </w:tc>
        <w:tc>
          <w:tcPr>
            <w:tcW w:type="dxa" w:w="4320"/>
          </w:tcPr>
          <w:p>
            <w:r>
              <w:rPr>
                <w:rFonts w:ascii="맑은 고딕" w:hAnsi="맑은 고딕" w:eastAsia="맑은 고딕"/>
                <w:sz w:val="17"/>
              </w:rPr>
              <w:t>기존 2·3월 파이프라인 회귀 0건(모든 규칙 변경 하위호환)</w:t>
            </w:r>
          </w:p>
        </w:tc>
      </w:tr>
    </w:tbl>
    <w:p>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6. 산출물</w:t>
      </w:r>
      <w:r>
        <w:rPr>
          <w:rFonts w:ascii="맑은 고딕" w:hAnsi="맑은 고딕" w:eastAsia="맑은 고딕"/>
        </w:rPr>
      </w:r>
    </w:p>
    <w:tbl>
      <w:tblPr>
        <w:tblStyle w:val="TableGrid"/>
        <w:tblW w:type="auto" w:w="0"/>
        <w:tblLook w:firstColumn="1" w:firstRow="1" w:lastColumn="0" w:lastRow="0" w:noHBand="0" w:noVBand="1" w:val="04A0"/>
      </w:tblPr>
      <w:tblGrid>
        <w:gridCol w:w="4320"/>
        <w:gridCol w:w="4320"/>
      </w:tblGrid>
      <w:tr>
        <w:tc>
          <w:tcPr>
            <w:tcW w:type="dxa" w:w="4320"/>
            <w:shd w:val="clear" w:fill="ECECEC"/>
          </w:tcPr>
          <w:p>
            <w:r>
              <w:rPr>
                <w:rFonts w:ascii="맑은 고딕" w:hAnsi="맑은 고딕" w:eastAsia="맑은 고딕"/>
                <w:b/>
                <w:sz w:val="17"/>
              </w:rPr>
              <w:t>분류</w:t>
            </w:r>
          </w:p>
        </w:tc>
        <w:tc>
          <w:tcPr>
            <w:tcW w:type="dxa" w:w="4320"/>
            <w:shd w:val="clear" w:fill="ECECEC"/>
          </w:tcPr>
          <w:p>
            <w:r>
              <w:rPr>
                <w:rFonts w:ascii="맑은 고딕" w:hAnsi="맑은 고딕" w:eastAsia="맑은 고딕"/>
                <w:b/>
                <w:sz w:val="17"/>
              </w:rPr>
              <w:t>산출물</w:t>
            </w:r>
          </w:p>
        </w:tc>
      </w:tr>
      <w:tr>
        <w:tc>
          <w:tcPr>
            <w:tcW w:type="dxa" w:w="4320"/>
          </w:tcPr>
          <w:p>
            <w:r>
              <w:rPr>
                <w:rFonts w:ascii="맑은 고딕" w:hAnsi="맑은 고딕" w:eastAsia="맑은 고딕"/>
                <w:sz w:val="17"/>
              </w:rPr>
              <w:t>통합 데이터</w:t>
            </w:r>
          </w:p>
        </w:tc>
        <w:tc>
          <w:tcPr>
            <w:tcW w:type="dxa" w:w="4320"/>
          </w:tcPr>
          <w:p>
            <w:r>
              <w:rPr>
                <w:rFonts w:ascii="맑은 고딕" w:hAnsi="맑은 고딕" w:eastAsia="맑은 고딕"/>
                <w:sz w:val="17"/>
              </w:rPr>
              <w:t>2026년 1~4월 정산 통합본(7개 시트: 월별·출판사별·시리즈별·작가별·미매칭검토·검증·통합레코드)</w:t>
            </w:r>
          </w:p>
        </w:tc>
      </w:tr>
      <w:tr>
        <w:tc>
          <w:tcPr>
            <w:tcW w:type="dxa" w:w="4320"/>
          </w:tcPr>
          <w:p>
            <w:r>
              <w:rPr>
                <w:rFonts w:ascii="맑은 고딕" w:hAnsi="맑은 고딕" w:eastAsia="맑은 고딕"/>
                <w:sz w:val="17"/>
              </w:rPr>
              <w:t>솔루션(웹앱)</w:t>
            </w:r>
          </w:p>
        </w:tc>
        <w:tc>
          <w:tcPr>
            <w:tcW w:type="dxa" w:w="4320"/>
          </w:tcPr>
          <w:p>
            <w:r>
              <w:rPr>
                <w:rFonts w:ascii="맑은 고딕" w:hAnsi="맑은 고딕" w:eastAsia="맑은 고딕"/>
                <w:sz w:val="17"/>
              </w:rPr>
              <w:t>1~4월 데이터, 31개 플랫폼, 연구소·일괄처리·출판사별 정산 뷰 반영(로컬 구동). 외부 배포본 갱신은 별도 진행</w:t>
            </w:r>
          </w:p>
        </w:tc>
      </w:tr>
      <w:tr>
        <w:tc>
          <w:tcPr>
            <w:tcW w:type="dxa" w:w="4320"/>
          </w:tcPr>
          <w:p>
            <w:r>
              <w:rPr>
                <w:rFonts w:ascii="맑은 고딕" w:hAnsi="맑은 고딕" w:eastAsia="맑은 고딕"/>
                <w:sz w:val="17"/>
              </w:rPr>
              <w:t>보고서</w:t>
            </w:r>
          </w:p>
        </w:tc>
        <w:tc>
          <w:tcPr>
            <w:tcW w:type="dxa" w:w="4320"/>
          </w:tcPr>
          <w:p>
            <w:r>
              <w:rPr>
                <w:rFonts w:ascii="맑은 고딕" w:hAnsi="맑은 고딕" w:eastAsia="맑은 고딕"/>
                <w:sz w:val="17"/>
              </w:rPr>
              <w:t>본 종합보고서, 신규데이터 고도화 보고서, 매칭 오류 진단 및 연구소 보고서</w:t>
            </w:r>
          </w:p>
        </w:tc>
      </w:tr>
    </w:tbl>
    <w:p>
      <w:r>
        <w:rPr>
          <w:rFonts w:ascii="맑은 고딕" w:hAnsi="맑은 고딕" w:eastAsia="맑은 고딕"/>
        </w:rPr>
      </w:r>
      <w:r>
        <w:rPr>
          <w:rFonts w:ascii="맑은 고딕" w:hAnsi="맑은 고딕" w:eastAsia="맑은 고딕"/>
        </w:rPr>
      </w:r>
      <w:r>
        <w:rPr>
          <w:rFonts w:ascii="맑은 고딕" w:hAnsi="맑은 고딕" w:eastAsia="맑은 고딕"/>
        </w:rPr>
      </w:r>
      <w:r>
        <w:rPr>
          <w:rFonts w:ascii="맑은 고딕" w:hAnsi="맑은 고딕" w:eastAsia="맑은 고딕"/>
        </w:rPr>
      </w:r>
    </w:p>
    <w:p>
      <w:pPr>
        <w:pStyle w:val="Heading2"/>
      </w:pPr>
      <w:r>
        <w:rPr>
          <w:rFonts w:ascii="맑은 고딕" w:hAnsi="맑은 고딕" w:eastAsia="맑은 고딕"/>
        </w:rPr>
        <w:t>부록. 주요 변경 코드</w:t>
      </w:r>
      <w:r>
        <w:rPr>
          <w:rFonts w:ascii="맑은 고딕" w:hAnsi="맑은 고딕" w:eastAsia="맑은 고딕"/>
        </w:rPr>
      </w:r>
    </w:p>
    <w:tbl>
      <w:tblPr>
        <w:tblStyle w:val="TableGrid"/>
        <w:tblW w:type="auto" w:w="0"/>
        <w:tblLook w:firstColumn="1" w:firstRow="1" w:lastColumn="0" w:lastRow="0" w:noHBand="0" w:noVBand="1" w:val="04A0"/>
      </w:tblPr>
      <w:tblGrid>
        <w:gridCol w:w="4320"/>
        <w:gridCol w:w="4320"/>
      </w:tblGrid>
      <w:tr>
        <w:tc>
          <w:tcPr>
            <w:tcW w:type="dxa" w:w="4320"/>
            <w:shd w:val="clear" w:fill="ECECEC"/>
          </w:tcPr>
          <w:p>
            <w:r>
              <w:rPr>
                <w:rFonts w:ascii="맑은 고딕" w:hAnsi="맑은 고딕" w:eastAsia="맑은 고딕"/>
                <w:b/>
                <w:sz w:val="17"/>
              </w:rPr>
              <w:t>파일</w:t>
            </w:r>
          </w:p>
        </w:tc>
        <w:tc>
          <w:tcPr>
            <w:tcW w:type="dxa" w:w="4320"/>
            <w:shd w:val="clear" w:fill="ECECEC"/>
          </w:tcPr>
          <w:p>
            <w:r>
              <w:rPr>
                <w:rFonts w:ascii="맑은 고딕" w:hAnsi="맑은 고딕" w:eastAsia="맑은 고딕"/>
                <w:b/>
                <w:sz w:val="17"/>
              </w:rPr>
              <w:t>변경 내용</w:t>
            </w:r>
          </w:p>
        </w:tc>
      </w:tr>
      <w:tr>
        <w:tc>
          <w:tcPr>
            <w:tcW w:type="dxa" w:w="4320"/>
          </w:tcPr>
          <w:p>
            <w:r>
              <w:rPr>
                <w:rFonts w:ascii="맑은 고딕" w:hAnsi="맑은 고딕" w:eastAsia="맑은 고딕"/>
                <w:sz w:val="17"/>
              </w:rPr>
              <w:t>파서 규칙</w:t>
            </w:r>
          </w:p>
        </w:tc>
        <w:tc>
          <w:tcPr>
            <w:tcW w:type="dxa" w:w="4320"/>
          </w:tcPr>
          <w:p>
            <w:r>
              <w:rPr>
                <w:rFonts w:ascii="맑은 고딕" w:hAnsi="맑은 고딕" w:eastAsia="맑은 고딕"/>
                <w:sz w:val="17"/>
              </w:rPr>
              <w:t>모픽·교보 파서 추가, 파일명 규칙 4건, 제공사 필드</w:t>
            </w:r>
          </w:p>
        </w:tc>
      </w:tr>
      <w:tr>
        <w:tc>
          <w:tcPr>
            <w:tcW w:type="dxa" w:w="4320"/>
          </w:tcPr>
          <w:p>
            <w:r>
              <w:rPr>
                <w:rFonts w:ascii="맑은 고딕" w:hAnsi="맑은 고딕" w:eastAsia="맑은 고딕"/>
                <w:sz w:val="17"/>
              </w:rPr>
              <w:t>정규화 엔진</w:t>
            </w:r>
          </w:p>
        </w:tc>
        <w:tc>
          <w:tcPr>
            <w:tcW w:type="dxa" w:w="4320"/>
          </w:tcPr>
          <w:p>
            <w:r>
              <w:rPr>
                <w:rFonts w:ascii="맑은 고딕" w:hAnsi="맑은 고딕" w:eastAsia="맑은 고딕"/>
                <w:sz w:val="17"/>
              </w:rPr>
              <w:t>작가 정규화 강화(한자·영문 병기·구두점 통합, 안전장치)</w:t>
            </w:r>
          </w:p>
        </w:tc>
      </w:tr>
      <w:tr>
        <w:tc>
          <w:tcPr>
            <w:tcW w:type="dxa" w:w="4320"/>
          </w:tcPr>
          <w:p>
            <w:r>
              <w:rPr>
                <w:rFonts w:ascii="맑은 고딕" w:hAnsi="맑은 고딕" w:eastAsia="맑은 고딕"/>
                <w:sz w:val="17"/>
              </w:rPr>
              <w:t>매칭 엔진</w:t>
            </w:r>
          </w:p>
        </w:tc>
        <w:tc>
          <w:tcPr>
            <w:tcW w:type="dxa" w:w="4320"/>
          </w:tcPr>
          <w:p>
            <w:r>
              <w:rPr>
                <w:rFonts w:ascii="맑은 고딕" w:hAnsi="맑은 고딕" w:eastAsia="맑은 고딕"/>
                <w:sz w:val="17"/>
              </w:rPr>
              <w:t>복원 기능, 신고 기록, 동명이작 자동 탐지</w:t>
            </w:r>
          </w:p>
        </w:tc>
      </w:tr>
      <w:tr>
        <w:tc>
          <w:tcPr>
            <w:tcW w:type="dxa" w:w="4320"/>
          </w:tcPr>
          <w:p>
            <w:r>
              <w:rPr>
                <w:rFonts w:ascii="맑은 고딕" w:hAnsi="맑은 고딕" w:eastAsia="맑은 고딕"/>
                <w:sz w:val="17"/>
              </w:rPr>
              <w:t>API</w:t>
            </w:r>
          </w:p>
        </w:tc>
        <w:tc>
          <w:tcPr>
            <w:tcW w:type="dxa" w:w="4320"/>
          </w:tcPr>
          <w:p>
            <w:r>
              <w:rPr>
                <w:rFonts w:ascii="맑은 고딕" w:hAnsi="맑은 고딕" w:eastAsia="맑은 고딕"/>
                <w:sz w:val="17"/>
              </w:rPr>
              <w:t>1~4월 다중소스 로드, 일괄승인·복원·신고·자동탐지 엔드포인트</w:t>
            </w:r>
          </w:p>
        </w:tc>
      </w:tr>
      <w:tr>
        <w:tc>
          <w:tcPr>
            <w:tcW w:type="dxa" w:w="4320"/>
          </w:tcPr>
          <w:p>
            <w:r>
              <w:rPr>
                <w:rFonts w:ascii="맑은 고딕" w:hAnsi="맑은 고딕" w:eastAsia="맑은 고딕"/>
                <w:sz w:val="17"/>
              </w:rPr>
              <w:t>프론트엔드</w:t>
            </w:r>
          </w:p>
        </w:tc>
        <w:tc>
          <w:tcPr>
            <w:tcW w:type="dxa" w:w="4320"/>
          </w:tcPr>
          <w:p>
            <w:r>
              <w:rPr>
                <w:rFonts w:ascii="맑은 고딕" w:hAnsi="맑은 고딕" w:eastAsia="맑은 고딕"/>
                <w:sz w:val="17"/>
              </w:rPr>
              <w:t>연구소 화면, 신고 버튼, 일괄승인·복원 UI</w:t>
            </w:r>
          </w:p>
        </w:tc>
      </w:tr>
      <w:tr>
        <w:tc>
          <w:tcPr>
            <w:tcW w:type="dxa" w:w="4320"/>
          </w:tcPr>
          <w:p>
            <w:r>
              <w:rPr>
                <w:rFonts w:ascii="맑은 고딕" w:hAnsi="맑은 고딕" w:eastAsia="맑은 고딕"/>
                <w:sz w:val="17"/>
              </w:rPr>
              <w:t>통합 스크립트</w:t>
            </w:r>
          </w:p>
        </w:tc>
        <w:tc>
          <w:tcPr>
            <w:tcW w:type="dxa" w:w="4320"/>
          </w:tcPr>
          <w:p>
            <w:r>
              <w:rPr>
                <w:rFonts w:ascii="맑은 고딕" w:hAnsi="맑은 고딕" w:eastAsia="맑은 고딕"/>
                <w:sz w:val="17"/>
              </w:rPr>
              <w:t>1~4월 다중소스 통합 생성기(출판사별 시트 포함)</w:t>
            </w:r>
          </w:p>
        </w:tc>
      </w:tr>
    </w:tbl>
    <w:p>
      <w:r>
        <w:rPr>
          <w:rFonts w:ascii="맑은 고딕" w:hAnsi="맑은 고딕" w:eastAsia="맑은 고딕"/>
        </w:rPr>
      </w:r>
      <w:r>
        <w:rPr>
          <w:rFonts w:ascii="맑은 고딕" w:hAnsi="맑은 고딕" w:eastAsia="맑은 고딕"/>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