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5DE2" w14:textId="77777777" w:rsidR="00BC1721" w:rsidRPr="00BC1721" w:rsidRDefault="00BC1721" w:rsidP="00BC1721">
      <w:pPr>
        <w:rPr>
          <w:b/>
          <w:bCs/>
          <w:sz w:val="40"/>
          <w:szCs w:val="40"/>
        </w:rPr>
      </w:pPr>
      <w:r w:rsidRPr="00BC1721">
        <w:rPr>
          <w:b/>
          <w:bCs/>
          <w:sz w:val="40"/>
          <w:szCs w:val="40"/>
        </w:rPr>
        <w:t>Exploratory Sales Data Analysis Report</w:t>
      </w:r>
    </w:p>
    <w:p w14:paraId="44765C73" w14:textId="77777777" w:rsidR="00BC1721" w:rsidRDefault="00BC1721" w:rsidP="00BC1721"/>
    <w:p w14:paraId="0BC58E35" w14:textId="77777777" w:rsidR="00BC1721" w:rsidRDefault="00BC1721" w:rsidP="00BC1721">
      <w:r>
        <w:t>Project Title: Exploratory Sales Data Analysis Using SQL</w:t>
      </w:r>
    </w:p>
    <w:p w14:paraId="34ED4658" w14:textId="665D8ED9" w:rsidR="00BC1721" w:rsidRDefault="00BC1721" w:rsidP="00BC1721">
      <w:r>
        <w:t>Analyst: [</w:t>
      </w:r>
      <w:r>
        <w:t>Ebo Rachel</w:t>
      </w:r>
      <w:r>
        <w:t>]</w:t>
      </w:r>
    </w:p>
    <w:p w14:paraId="0DB07590" w14:textId="135347C1" w:rsidR="00BC1721" w:rsidRDefault="00BC1721" w:rsidP="00BC1721">
      <w:r>
        <w:t>Date: [</w:t>
      </w:r>
      <w:r>
        <w:t>18 March, 2026</w:t>
      </w:r>
      <w:r>
        <w:t>]</w:t>
      </w:r>
    </w:p>
    <w:p w14:paraId="600708AE" w14:textId="7CF47B12" w:rsidR="00BC1721" w:rsidRDefault="00BC1721" w:rsidP="00BC1721"/>
    <w:p w14:paraId="08E4E490" w14:textId="77777777" w:rsidR="00BC1721" w:rsidRDefault="00BC1721" w:rsidP="00BC1721"/>
    <w:p w14:paraId="50212AA0" w14:textId="77777777" w:rsidR="00BC1721" w:rsidRPr="00BC1721" w:rsidRDefault="00BC1721" w:rsidP="00BC1721">
      <w:pPr>
        <w:rPr>
          <w:b/>
          <w:bCs/>
          <w:sz w:val="36"/>
          <w:szCs w:val="36"/>
        </w:rPr>
      </w:pPr>
      <w:r w:rsidRPr="00BC1721">
        <w:rPr>
          <w:b/>
          <w:bCs/>
          <w:sz w:val="36"/>
          <w:szCs w:val="36"/>
        </w:rPr>
        <w:t>1. Key Findings</w:t>
      </w:r>
    </w:p>
    <w:p w14:paraId="236D0C73" w14:textId="77777777" w:rsidR="00BC1721" w:rsidRDefault="00BC1721" w:rsidP="00BC1721">
      <w:r>
        <w:tab/>
        <w:t>1.</w:t>
      </w:r>
      <w:r>
        <w:tab/>
        <w:t>Total Sales &amp; Profit:</w:t>
      </w:r>
    </w:p>
    <w:p w14:paraId="298366D4" w14:textId="77777777" w:rsidR="00BC1721" w:rsidRDefault="00BC1721" w:rsidP="00BC1721">
      <w:r>
        <w:tab/>
        <w:t>•</w:t>
      </w:r>
      <w:r>
        <w:tab/>
        <w:t>The overall sales generated across all orders totaled 2,297,200.86, with a total profit of 286,817.02.</w:t>
      </w:r>
    </w:p>
    <w:p w14:paraId="310C9EB2" w14:textId="77777777" w:rsidR="00BC1721" w:rsidRDefault="00BC1721" w:rsidP="00BC1721">
      <w:r>
        <w:tab/>
        <w:t>•</w:t>
      </w:r>
      <w:r>
        <w:tab/>
        <w:t>This indicates the revenue and profitability of the retail business over the analyzed period.</w:t>
      </w:r>
    </w:p>
    <w:p w14:paraId="4C30D7AC" w14:textId="77777777" w:rsidR="00BC1721" w:rsidRDefault="00BC1721" w:rsidP="00BC1721">
      <w:r>
        <w:tab/>
        <w:t>2.</w:t>
      </w:r>
      <w:r>
        <w:tab/>
        <w:t>Regional Performance:</w:t>
      </w:r>
    </w:p>
    <w:p w14:paraId="08CEC67E" w14:textId="77777777" w:rsidR="00BC1721" w:rsidRDefault="00BC1721" w:rsidP="00BC1721">
      <w:r>
        <w:tab/>
        <w:t>•</w:t>
      </w:r>
      <w:r>
        <w:tab/>
        <w:t>The West region generated the highest total sales with 725,457.82, followed by East (678,781.24), Central (501,239.89), and South (391,721.91).</w:t>
      </w:r>
    </w:p>
    <w:p w14:paraId="7FA17D8D" w14:textId="77777777" w:rsidR="00BC1721" w:rsidRDefault="00BC1721" w:rsidP="00BC1721">
      <w:r>
        <w:tab/>
        <w:t>•</w:t>
      </w:r>
      <w:r>
        <w:tab/>
        <w:t>Regional trends suggest focused marketing and inventory strategies could maximize profitability in high-performing regions.</w:t>
      </w:r>
    </w:p>
    <w:p w14:paraId="715A89BF" w14:textId="77777777" w:rsidR="00BC1721" w:rsidRDefault="00BC1721" w:rsidP="00BC1721">
      <w:r>
        <w:tab/>
        <w:t>3.</w:t>
      </w:r>
      <w:r>
        <w:tab/>
        <w:t>Product Category Performance:</w:t>
      </w:r>
    </w:p>
    <w:p w14:paraId="39636A96" w14:textId="77777777" w:rsidR="00BC1721" w:rsidRDefault="00BC1721" w:rsidP="00BC1721">
      <w:r>
        <w:tab/>
        <w:t>•</w:t>
      </w:r>
      <w:r>
        <w:tab/>
        <w:t>Technology recorded the highest total sales (836,154.03) and profit (145,454.95).</w:t>
      </w:r>
    </w:p>
    <w:p w14:paraId="35FCBC42" w14:textId="77777777" w:rsidR="00BC1721" w:rsidRDefault="00BC1721" w:rsidP="00BC1721">
      <w:r>
        <w:tab/>
        <w:t>•</w:t>
      </w:r>
      <w:r>
        <w:tab/>
        <w:t>Furniture had total sales of 741,999.79 and profit of 18,871.27, while Office Supplies totaled 719,047.03 in sales and 122,490.80 in profit.</w:t>
      </w:r>
    </w:p>
    <w:p w14:paraId="3BCEF98F" w14:textId="77777777" w:rsidR="00BC1721" w:rsidRDefault="00BC1721" w:rsidP="00BC1721">
      <w:r>
        <w:tab/>
        <w:t>•</w:t>
      </w:r>
      <w:r>
        <w:tab/>
        <w:t>Product category performance highlights which categories contribute most to the company’s bottom line.</w:t>
      </w:r>
    </w:p>
    <w:p w14:paraId="0E48A4AA" w14:textId="77777777" w:rsidR="00BC1721" w:rsidRDefault="00BC1721" w:rsidP="00BC1721">
      <w:r>
        <w:tab/>
        <w:t>4.</w:t>
      </w:r>
      <w:r>
        <w:tab/>
        <w:t>Customer Segment Analysis:</w:t>
      </w:r>
    </w:p>
    <w:p w14:paraId="13E1CCB3" w14:textId="77777777" w:rsidR="00BC1721" w:rsidRDefault="00BC1721" w:rsidP="00BC1721">
      <w:r>
        <w:tab/>
        <w:t>•</w:t>
      </w:r>
      <w:r>
        <w:tab/>
        <w:t>The Home Office segment had the highest average sales per order (240.97), followed by Corporate (233.82) and Consumer (223.73).</w:t>
      </w:r>
    </w:p>
    <w:p w14:paraId="5876B8AE" w14:textId="77777777" w:rsidR="00BC1721" w:rsidRDefault="00BC1721" w:rsidP="00BC1721">
      <w:r>
        <w:lastRenderedPageBreak/>
        <w:tab/>
        <w:t>•</w:t>
      </w:r>
      <w:r>
        <w:tab/>
        <w:t>Understanding customer segment behavior allows targeted promotions and customer loyalty strategies.</w:t>
      </w:r>
    </w:p>
    <w:p w14:paraId="5D97DA41" w14:textId="77777777" w:rsidR="00BC1721" w:rsidRDefault="00BC1721" w:rsidP="00BC1721">
      <w:r>
        <w:tab/>
        <w:t>5.</w:t>
      </w:r>
      <w:r>
        <w:tab/>
        <w:t>High-Value Orders:</w:t>
      </w:r>
    </w:p>
    <w:p w14:paraId="259CD0CC" w14:textId="77777777" w:rsidR="00BC1721" w:rsidRDefault="00BC1721" w:rsidP="00BC1721">
      <w:r>
        <w:tab/>
        <w:t>•</w:t>
      </w:r>
      <w:r>
        <w:tab/>
        <w:t>Orders above $1,000 were identified as high-value transactions, representing key revenue-generating opportunities.</w:t>
      </w:r>
    </w:p>
    <w:p w14:paraId="0C02EC24" w14:textId="77777777" w:rsidR="00BC1721" w:rsidRDefault="00BC1721" w:rsidP="00BC1721">
      <w:r>
        <w:tab/>
        <w:t>•</w:t>
      </w:r>
      <w:r>
        <w:tab/>
        <w:t>These high-value orders are critical to profitability and indicate priority customers.</w:t>
      </w:r>
    </w:p>
    <w:p w14:paraId="6729E63C" w14:textId="77777777" w:rsidR="00BC1721" w:rsidRDefault="00BC1721" w:rsidP="00BC1721">
      <w:r>
        <w:tab/>
        <w:t>6.</w:t>
      </w:r>
      <w:r>
        <w:tab/>
        <w:t>Top Performing Sub-Categories:</w:t>
      </w:r>
    </w:p>
    <w:p w14:paraId="4D727EBD" w14:textId="77777777" w:rsidR="00BC1721" w:rsidRDefault="00BC1721" w:rsidP="00BC1721">
      <w:r>
        <w:tab/>
        <w:t>•</w:t>
      </w:r>
      <w:r>
        <w:tab/>
        <w:t>The top 5 sub-categories by profit are:</w:t>
      </w:r>
    </w:p>
    <w:p w14:paraId="3C74E490" w14:textId="77777777" w:rsidR="00BC1721" w:rsidRDefault="00BC1721" w:rsidP="00BC1721">
      <w:r>
        <w:tab/>
        <w:t>1.</w:t>
      </w:r>
      <w:r>
        <w:tab/>
        <w:t>Copiers – 55,617.82</w:t>
      </w:r>
    </w:p>
    <w:p w14:paraId="6B714239" w14:textId="77777777" w:rsidR="00BC1721" w:rsidRDefault="00BC1721" w:rsidP="00BC1721">
      <w:r>
        <w:tab/>
        <w:t>2.</w:t>
      </w:r>
      <w:r>
        <w:tab/>
        <w:t>Phones – 44,515.73</w:t>
      </w:r>
    </w:p>
    <w:p w14:paraId="730683B5" w14:textId="77777777" w:rsidR="00BC1721" w:rsidRDefault="00BC1721" w:rsidP="00BC1721">
      <w:r>
        <w:tab/>
        <w:t>3.</w:t>
      </w:r>
      <w:r>
        <w:tab/>
        <w:t>Accessories – 41,936.64</w:t>
      </w:r>
    </w:p>
    <w:p w14:paraId="5BF7B276" w14:textId="77777777" w:rsidR="00BC1721" w:rsidRDefault="00BC1721" w:rsidP="00BC1721">
      <w:r>
        <w:tab/>
        <w:t>4.</w:t>
      </w:r>
      <w:r>
        <w:tab/>
        <w:t>Paper – 34,053.57</w:t>
      </w:r>
    </w:p>
    <w:p w14:paraId="48862E83" w14:textId="77777777" w:rsidR="00BC1721" w:rsidRDefault="00BC1721" w:rsidP="00BC1721">
      <w:r>
        <w:tab/>
        <w:t>5.</w:t>
      </w:r>
      <w:r>
        <w:tab/>
        <w:t>Binders – 30,221.76</w:t>
      </w:r>
    </w:p>
    <w:p w14:paraId="5EB322AB" w14:textId="77777777" w:rsidR="00BC1721" w:rsidRDefault="00BC1721" w:rsidP="00BC1721">
      <w:r>
        <w:tab/>
        <w:t>•</w:t>
      </w:r>
      <w:r>
        <w:tab/>
        <w:t>Focusing on these sub-categories can further improve profitability.</w:t>
      </w:r>
    </w:p>
    <w:p w14:paraId="1945D41D" w14:textId="77777777" w:rsidR="00BC1721" w:rsidRDefault="00BC1721" w:rsidP="00BC1721">
      <w:r>
        <w:tab/>
        <w:t>7.</w:t>
      </w:r>
      <w:r>
        <w:tab/>
        <w:t>Profitability Check:</w:t>
      </w:r>
    </w:p>
    <w:p w14:paraId="26E715C8" w14:textId="77777777" w:rsidR="00BC1721" w:rsidRDefault="00BC1721" w:rsidP="00BC1721">
      <w:r>
        <w:tab/>
        <w:t>•</w:t>
      </w:r>
      <w:r>
        <w:tab/>
        <w:t>Product categories with total profit above 10,000 include:</w:t>
      </w:r>
    </w:p>
    <w:p w14:paraId="0A3B6ACF" w14:textId="77777777" w:rsidR="00BC1721" w:rsidRDefault="00BC1721" w:rsidP="00BC1721">
      <w:r>
        <w:tab/>
        <w:t>1.</w:t>
      </w:r>
      <w:r>
        <w:tab/>
        <w:t>Technology – 145,454.95</w:t>
      </w:r>
    </w:p>
    <w:p w14:paraId="247D2FD0" w14:textId="77777777" w:rsidR="00BC1721" w:rsidRDefault="00BC1721" w:rsidP="00BC1721">
      <w:r>
        <w:tab/>
        <w:t>2.</w:t>
      </w:r>
      <w:r>
        <w:tab/>
        <w:t>Office Supplies – 122,490.80</w:t>
      </w:r>
    </w:p>
    <w:p w14:paraId="71A00345" w14:textId="77777777" w:rsidR="00BC1721" w:rsidRDefault="00BC1721" w:rsidP="00BC1721">
      <w:r>
        <w:tab/>
        <w:t>3.</w:t>
      </w:r>
      <w:r>
        <w:tab/>
        <w:t>Furniture – 18,871.27</w:t>
      </w:r>
    </w:p>
    <w:p w14:paraId="22AA5D90" w14:textId="77777777" w:rsidR="00BC1721" w:rsidRDefault="00BC1721" w:rsidP="00BC1721">
      <w:r>
        <w:tab/>
        <w:t>•</w:t>
      </w:r>
      <w:r>
        <w:tab/>
        <w:t>These high-profit categories are essential for strategic inventory and sales planning.</w:t>
      </w:r>
    </w:p>
    <w:p w14:paraId="7032D46E" w14:textId="50A0D458" w:rsidR="00BC1721" w:rsidRDefault="00BC1721" w:rsidP="00BC1721"/>
    <w:p w14:paraId="690C6DE1" w14:textId="77777777" w:rsidR="00BC1721" w:rsidRDefault="00BC1721" w:rsidP="00BC1721"/>
    <w:p w14:paraId="1CE03C90" w14:textId="77777777" w:rsidR="00BC1721" w:rsidRPr="00BC1721" w:rsidRDefault="00BC1721" w:rsidP="00BC1721">
      <w:pPr>
        <w:rPr>
          <w:b/>
          <w:bCs/>
          <w:sz w:val="36"/>
          <w:szCs w:val="36"/>
        </w:rPr>
      </w:pPr>
      <w:r w:rsidRPr="00BC1721">
        <w:rPr>
          <w:b/>
          <w:bCs/>
          <w:sz w:val="36"/>
          <w:szCs w:val="36"/>
        </w:rPr>
        <w:t>2. Business Insights</w:t>
      </w:r>
    </w:p>
    <w:p w14:paraId="61802266" w14:textId="77777777" w:rsidR="00BC1721" w:rsidRDefault="00BC1721" w:rsidP="00BC1721">
      <w:r>
        <w:tab/>
        <w:t>•</w:t>
      </w:r>
      <w:r>
        <w:tab/>
        <w:t>Regions, product categories, and customer segments differ significantly in sales and profitability.</w:t>
      </w:r>
    </w:p>
    <w:p w14:paraId="0BB484D7" w14:textId="77777777" w:rsidR="00BC1721" w:rsidRDefault="00BC1721" w:rsidP="00BC1721">
      <w:r>
        <w:tab/>
        <w:t>•</w:t>
      </w:r>
      <w:r>
        <w:tab/>
        <w:t>High-value orders and top-performing sub-categories indicate areas of strategic focus.</w:t>
      </w:r>
    </w:p>
    <w:p w14:paraId="2758E128" w14:textId="77777777" w:rsidR="00BC1721" w:rsidRDefault="00BC1721" w:rsidP="00BC1721">
      <w:r>
        <w:lastRenderedPageBreak/>
        <w:tab/>
        <w:t>•</w:t>
      </w:r>
      <w:r>
        <w:tab/>
        <w:t>Customer segment analysis shows potential for targeted marketing campaigns to increase average order value.</w:t>
      </w:r>
    </w:p>
    <w:p w14:paraId="17C28616" w14:textId="77777777" w:rsidR="00BC1721" w:rsidRDefault="00BC1721" w:rsidP="00BC1721">
      <w:r>
        <w:tab/>
        <w:t>•</w:t>
      </w:r>
      <w:r>
        <w:tab/>
        <w:t>Inventory and marketing strategies should prioritize high-performing regions and profitable product lines.</w:t>
      </w:r>
    </w:p>
    <w:p w14:paraId="12A795C5" w14:textId="7ED105F5" w:rsidR="00BC1721" w:rsidRDefault="00BC1721" w:rsidP="00BC1721"/>
    <w:p w14:paraId="42297517" w14:textId="77777777" w:rsidR="00BC1721" w:rsidRDefault="00BC1721" w:rsidP="00BC1721"/>
    <w:p w14:paraId="4B7DDAFB" w14:textId="77777777" w:rsidR="00BC1721" w:rsidRPr="00BC1721" w:rsidRDefault="00BC1721" w:rsidP="00BC1721">
      <w:pPr>
        <w:rPr>
          <w:b/>
          <w:bCs/>
          <w:sz w:val="36"/>
          <w:szCs w:val="36"/>
        </w:rPr>
      </w:pPr>
      <w:r w:rsidRPr="00BC1721">
        <w:rPr>
          <w:b/>
          <w:bCs/>
          <w:sz w:val="36"/>
          <w:szCs w:val="36"/>
        </w:rPr>
        <w:t>3. Notable Trends</w:t>
      </w:r>
    </w:p>
    <w:p w14:paraId="3646B10A" w14:textId="77777777" w:rsidR="00BC1721" w:rsidRDefault="00BC1721" w:rsidP="00BC1721">
      <w:r>
        <w:tab/>
        <w:t>•</w:t>
      </w:r>
      <w:r>
        <w:tab/>
        <w:t>Sales tend to concentrate in a few regions and product categories, highlighting potential gaps in underperforming areas.</w:t>
      </w:r>
    </w:p>
    <w:p w14:paraId="5102AF03" w14:textId="77777777" w:rsidR="00BC1721" w:rsidRDefault="00BC1721" w:rsidP="00BC1721">
      <w:r>
        <w:tab/>
        <w:t>•</w:t>
      </w:r>
      <w:r>
        <w:tab/>
        <w:t>Customer segments with higher average sales per order are valuable for loyalty programs.</w:t>
      </w:r>
    </w:p>
    <w:p w14:paraId="6F00F2E2" w14:textId="77777777" w:rsidR="00BC1721" w:rsidRDefault="00BC1721" w:rsidP="00BC1721">
      <w:r>
        <w:tab/>
        <w:t>•</w:t>
      </w:r>
      <w:r>
        <w:tab/>
        <w:t>Monitoring high-value orders regularly can help in forecasting revenue and identifying priority customers.</w:t>
      </w:r>
    </w:p>
    <w:p w14:paraId="56FFBB27" w14:textId="16F03C9B" w:rsidR="00BC1721" w:rsidRDefault="00BC1721" w:rsidP="00BC1721"/>
    <w:p w14:paraId="2BBBAE6C" w14:textId="77777777" w:rsidR="00BC1721" w:rsidRDefault="00BC1721" w:rsidP="00BC1721"/>
    <w:p w14:paraId="5A1F243F" w14:textId="77777777" w:rsidR="00BC1721" w:rsidRPr="00BC1721" w:rsidRDefault="00BC1721" w:rsidP="00BC1721">
      <w:pPr>
        <w:rPr>
          <w:b/>
          <w:bCs/>
          <w:sz w:val="36"/>
          <w:szCs w:val="36"/>
        </w:rPr>
      </w:pPr>
      <w:r w:rsidRPr="00BC1721">
        <w:rPr>
          <w:b/>
          <w:bCs/>
          <w:sz w:val="36"/>
          <w:szCs w:val="36"/>
        </w:rPr>
        <w:t>Conclusion &amp; Recommendations</w:t>
      </w:r>
    </w:p>
    <w:p w14:paraId="77BE7BDF" w14:textId="77777777" w:rsidR="00BC1721" w:rsidRDefault="00BC1721" w:rsidP="00BC1721">
      <w:r>
        <w:tab/>
        <w:t>1.</w:t>
      </w:r>
      <w:r>
        <w:tab/>
        <w:t>Focus on High-Performing Regions: Allocate marketing and stock resources to maximize returns in the top regions.</w:t>
      </w:r>
    </w:p>
    <w:p w14:paraId="61A304EF" w14:textId="77777777" w:rsidR="00BC1721" w:rsidRDefault="00BC1721" w:rsidP="00BC1721">
      <w:r>
        <w:tab/>
        <w:t>2.</w:t>
      </w:r>
      <w:r>
        <w:tab/>
        <w:t>Promote Profitable Product Categories &amp; Sub-Categories: Prioritize sales campaigns and promotions for high-profit items.</w:t>
      </w:r>
    </w:p>
    <w:p w14:paraId="46012675" w14:textId="77777777" w:rsidR="00BC1721" w:rsidRDefault="00BC1721" w:rsidP="00BC1721">
      <w:r>
        <w:tab/>
        <w:t>3.</w:t>
      </w:r>
      <w:r>
        <w:tab/>
        <w:t>Target High-Value Customer Segments: Use insights from segment analysis for targeted marketing and loyalty programs.</w:t>
      </w:r>
    </w:p>
    <w:p w14:paraId="57BE021A" w14:textId="352D23FB" w:rsidR="00CA6BDA" w:rsidRDefault="00BC1721" w:rsidP="00BC1721">
      <w:r>
        <w:tab/>
        <w:t>4.</w:t>
      </w:r>
      <w:r>
        <w:tab/>
        <w:t>Monitor and Encourage Large Orders: Offer incentives or bundle promotions to increase high-value transactions.</w:t>
      </w:r>
    </w:p>
    <w:sectPr w:rsidR="00CA6B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21"/>
    <w:rsid w:val="003D7DA4"/>
    <w:rsid w:val="00BC1721"/>
    <w:rsid w:val="00CA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B714"/>
  <w15:chartTrackingRefBased/>
  <w15:docId w15:val="{539DC72B-DB70-41D4-B473-05B96FFA0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2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2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2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2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2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2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2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Ebo</dc:creator>
  <cp:keywords/>
  <dc:description/>
  <cp:lastModifiedBy>Rachel Ebo</cp:lastModifiedBy>
  <cp:revision>1</cp:revision>
  <dcterms:created xsi:type="dcterms:W3CDTF">2026-03-18T09:27:00Z</dcterms:created>
  <dcterms:modified xsi:type="dcterms:W3CDTF">2026-03-18T09:30:00Z</dcterms:modified>
</cp:coreProperties>
</file>