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40"/>
          <w:szCs w:val="40"/>
        </w:rPr>
        <w:t xml:space="preserve">16S rRNA Microbiome Workshop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Slide Planning Guide: Pipeline Steps, Common Pitfalls &amp; Reproducibility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Overview</w:t>
      </w:r>
    </w:p>
    <w:p>
      <w:pPr>
        <w:spacing w:after="360"/>
      </w:pPr>
      <w:r>
        <w:rPr>
          <w:rFonts w:ascii="Arial" w:cs="Arial" w:eastAsia="Arial" w:hAnsi="Arial"/>
          <w:sz w:val="24"/>
          <w:szCs w:val="24"/>
        </w:rPr>
        <w:t xml:space="preserve">This document outlines suggested slide content for each stage of the 16S rRNA amplicon sequencing pipeline, followed by recommended cross-cutting slides on common pitfalls and reproducibility best practices.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1. Sample Preparation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DNA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Bead-beating vs. kit-based extraction — mechanical vs. chemical lysis tradeoffs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Importance of consistent protocol across all samples (same kit, same operator, same lot)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Inhibitor removal (humic acids in soil, bile salts in stool) and downstream PCR impact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Sample Types &amp;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Common sample types: stool, oral swab, soil, skin, water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Storage conditions: freeze-thaw cycles, RNAlater, dry ice vs. -80°C — each affects community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How pre-analytical variables can introduce batch effects that look like biological signal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2. Amplification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Primer Selection &amp; Hypervariable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V3–V4 vs. V4 vs. V1–V3: each region has different taxonomic resolution and primer bias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515F/806R (V4) is the most widely used in human microbiome studies — aids cross-study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Primer mismatches can systematically exclude taxa (e.g., Archaea, Cyanobacteria)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PCR Conditions &amp; Library Prep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Keep PCR cycle numbers low (typically 25–30) to minimize chimera formation and amplification bias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Barcoded/indexed primers allow sample multiplexing in a single sequencing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Include a no-template negative control and a mock community positive control in every run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3. Sequencing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Platform Choices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Illumina MiSeq/NovaSeq: short reads (2×250 bp), high throughput, low error rate — the current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PacBio/Nanopore: full-length 16S (~1500 bp), better taxonomic resolution, higher error rate per 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Sequencing depth: ~10,000–20,000 reads/sample is a common minimum; rare-biosphere studies may need more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Quality Scores &amp;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Base quality is reported as Phred Q scores (Q20 = 1% error, Q30 = 0.1%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typically drops toward the 3’ end of reads — this informs truncation decisions in QC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Sequencer outputs: FASTQ files, one or two per sample (forward/reverse for paired-end)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4. FASTQ Files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File Format Anatomy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read is 4 lines: (1) @header with run/sample info, (2) nucleotide sequence, (3) + separator, (4) ASCII-encoded quality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encoding: ASCII character minus 33 = Phred score (e.g., 'I' = 73−33 = Q40)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Paired-end data: R1 (forward) and R2 (reverse) files must stay in sync — line counts must match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QC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FastQC: per-base quality profiles, adapter content, GC bias, duplication 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MultiQC: aggregates FastQC reports across all samples into a single interactive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 flags: quality score crash at read ends, unexpected adapter content, bimodal GC distribution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5. Demultiplexing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How Demultiplexing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Multiple samples are pooled into one sequencing run using unique barcodes/indexes attached to primers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Demultiplexing software (cutadapt, QIIME2 demux) matches barcodes to a sample map and splits reads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Reads that don’t match any barcode (within allowed mismatches) are discarded as “unassigned”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Failure Modes &amp; Auditing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Index hopping (Illumina patterned flow cells): reads can be misassigned between samples — use unique dual indexes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Review per-sample read counts after demux; consistently low counts for one sample often signals a barcode problem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Unassigned read fraction &gt;10–15% warrants investigation before proceeding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6. Quality Control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Trimming &amp;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Adapter and primer removal with cutadapt: critical before any denoising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Truncation by quality score: set truncation position where median quality drops below ~Q25–30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Tradeoff: aggressive trimming removes noise but shortens reads, potentially reducing paired-end overlap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Denoising: ASVs vs. OTUs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DADA2 and Deblur generate Amplicon Sequence Variants (ASVs) — exact sequences, no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ASVs have replaced 97% OTU clustering as the standard: they are reproducible across studies and have single-nucleotide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Both tools include chimera removal; DADA2 also models per-run error rates for higher accuracy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7. Count Table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What Is a Feature Table?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Rows = samples, columns = ASVs/OTUs, values = raw read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Paired with a taxonomy table (ASV → phylum, class, order, family, genus, species assignments)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Also optionally paired with a phylogenetic tree for UniFrac-based diversity metrics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Rarefaction &amp;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 depth varies across samples; comparing raw counts is misleading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Rarefying (subsampling to equal depth) is simple but discards data — best for alpha diversity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Alternatives: relative abundance, TMM (edgeR), CSS (metagenomeSeq), or modeling depth as a covariate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8. Dimension Reduction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Beta Diversity &amp; PCoA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 thousands of ASVs, direct visualization is impossible — use distance matrices to collapse into 2D/3D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Distance options: Bray-Curtis (abundance-weighted), Jaccard (presence/absence), weighted/unweighted UniFrac (phylogeny-aware)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PCoA (Principal Coordinates Analysis) is the standard ordination for microbiome beta diversity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Reading &amp; Testing Ordination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Clusters in PCoA suggest community-level differences between groups — but visual separation alone is not a statistical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PERMANOVA (adonis2 in vegan) tests whether group centroids differ; PERMDISP tests whether within-group spread differs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Common confounders: batch, extraction date, sample type — always check metadata overlays before interpreting biology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9. Diversity Analysis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1 — Alpha Diversity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Richness metrics: Observed ASVs (raw count), Chao1 (corrects for rare/unseen taxa)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Richness + evenness: Shannon entropy, Simpson index — sensitive to both how many taxa and how evenly they’re distributed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Phylogenetic: Faith’s PD (sum of branch lengths) — accounts for evolutionary relatedness, not just taxon counts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Slide 2 — Differential Abundance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Goal: identify which specific taxa differ in abundance between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Tools: DESeq2 (negative binomial), ANCOM-BC (bias-correction for compositionality), MaAsLin2 (mixed effects models for longitudinal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Key concept: microbiome data is compositional — counts reflect relative proportions, so changes in one taxon affect apparent counts of all others</w:t>
      </w:r>
    </w:p>
    <w:p>
      <w:pPr>
        <w:spacing w:after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Common Pitfalls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Recommended as callout slides interspersed throughout the workshop, or as a dedicated "What Can Go Wrong?" session.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Pre-Analytical Pitfalls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Inconsistent extraction kits or operators across batches.</w:t>
      </w:r>
      <w:r>
        <w:rPr>
          <w:rFonts w:ascii="Arial" w:cs="Arial" w:eastAsia="Arial" w:hAnsi="Arial"/>
          <w:sz w:val="24"/>
          <w:szCs w:val="24"/>
        </w:rPr>
        <w:t xml:space="preserve"> Even switching kit lots mid-study can introduce measurable diversity shifts that mimic biological effects.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Freeze-thaw cycles.</w:t>
      </w:r>
      <w:r>
        <w:rPr>
          <w:rFonts w:ascii="Arial" w:cs="Arial" w:eastAsia="Arial" w:hAnsi="Arial"/>
          <w:sz w:val="24"/>
          <w:szCs w:val="24"/>
        </w:rPr>
        <w:t xml:space="preserve"> Each cycle degrades DNA and can selectively lyse fragile taxa. Always process all samples consistently.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Missing negative controls.</w:t>
      </w:r>
      <w:r>
        <w:rPr>
          <w:rFonts w:ascii="Arial" w:cs="Arial" w:eastAsia="Arial" w:hAnsi="Arial"/>
          <w:sz w:val="24"/>
          <w:szCs w:val="24"/>
        </w:rPr>
        <w:t xml:space="preserve"> Extraction blanks and PCR no-template controls are essential for detecting reagent contamination, which is especially problematic for low-biomass samples (e.g., skin, BAL fluid).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mock community positive control.</w:t>
      </w:r>
      <w:r>
        <w:rPr>
          <w:rFonts w:ascii="Arial" w:cs="Arial" w:eastAsia="Arial" w:hAnsi="Arial"/>
          <w:sz w:val="24"/>
          <w:szCs w:val="24"/>
        </w:rPr>
        <w:t xml:space="preserve"> Without a known-composition standard in each run, you have no way to benchmark your pipeline’s accuracy or detect run-level failures.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Sequencing &amp; Bioinformatics Pitfalls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 removing primers before denoising.</w:t>
      </w:r>
      <w:r>
        <w:rPr>
          <w:rFonts w:ascii="Arial" w:cs="Arial" w:eastAsia="Arial" w:hAnsi="Arial"/>
          <w:sz w:val="24"/>
          <w:szCs w:val="24"/>
        </w:rPr>
        <w:t xml:space="preserve"> Primer sequences left in reads will inflate error rates in DADA2/Deblur and produce spurious ASVs.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Aggressive quality truncation that eliminates paired-end overlap.</w:t>
      </w:r>
      <w:r>
        <w:rPr>
          <w:rFonts w:ascii="Arial" w:cs="Arial" w:eastAsia="Arial" w:hAnsi="Arial"/>
          <w:sz w:val="24"/>
          <w:szCs w:val="24"/>
        </w:rPr>
        <w:t xml:space="preserve"> If your forward and reverse reads no longer overlap, merging will fail. Check that truncLen settings leave at least 20 bp of overlap.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Using 97% OTU clustering for new studies.</w:t>
      </w:r>
      <w:r>
        <w:rPr>
          <w:rFonts w:ascii="Arial" w:cs="Arial" w:eastAsia="Arial" w:hAnsi="Arial"/>
          <w:sz w:val="24"/>
          <w:szCs w:val="24"/>
        </w:rPr>
        <w:t xml:space="preserve"> ASVs are now the standard. OTU results are not reproducible across pipelines and cannot be compared across studies without re-clustering.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Ignoring chimeras.</w:t>
      </w:r>
      <w:r>
        <w:rPr>
          <w:rFonts w:ascii="Arial" w:cs="Arial" w:eastAsia="Arial" w:hAnsi="Arial"/>
          <w:sz w:val="24"/>
          <w:szCs w:val="24"/>
        </w:rPr>
        <w:t xml:space="preserve"> Chimeric sequences are a major source of inflated diversity estimates. Always run chimera detection (DADA2 does this by default; check that it’s not accidentally disabled).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Index hopping in multiplexed runs.</w:t>
      </w:r>
      <w:r>
        <w:rPr>
          <w:rFonts w:ascii="Arial" w:cs="Arial" w:eastAsia="Arial" w:hAnsi="Arial"/>
          <w:sz w:val="24"/>
          <w:szCs w:val="24"/>
        </w:rPr>
        <w:t xml:space="preserve"> Particularly problematic on Illumina NovaSeq with patterned flow cells. Use combinatorially unique dual indexes and check your unassigned read fraction.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Statistical &amp; Interpretation Pitfalls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Treating PCoA plots as statistical tests.</w:t>
      </w:r>
      <w:r>
        <w:rPr>
          <w:rFonts w:ascii="Arial" w:cs="Arial" w:eastAsia="Arial" w:hAnsi="Arial"/>
          <w:sz w:val="24"/>
          <w:szCs w:val="24"/>
        </w:rPr>
        <w:t xml:space="preserve"> Visual separation does not equal significance. Always run PERMANOVA and report R² and p-values.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 accounting for compositionality.</w:t>
      </w:r>
      <w:r>
        <w:rPr>
          <w:rFonts w:ascii="Arial" w:cs="Arial" w:eastAsia="Arial" w:hAnsi="Arial"/>
          <w:sz w:val="24"/>
          <w:szCs w:val="24"/>
        </w:rPr>
        <w:t xml:space="preserve"> Because reads sum to a fixed total, log-ratio or compositionally-aware methods (ANCOM-BC, ALDEx2) are preferred over naive fold-change comparisons.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Rarefying for differential abundance.</w:t>
      </w:r>
      <w:r>
        <w:rPr>
          <w:rFonts w:ascii="Arial" w:cs="Arial" w:eastAsia="Arial" w:hAnsi="Arial"/>
          <w:sz w:val="24"/>
          <w:szCs w:val="24"/>
        </w:rPr>
        <w:t xml:space="preserve"> Rarefying throws away real data and inflates variance. Reserve rarefying for alpha diversity; use normalization-aware tools (DESeq2, ANCOM-BC) for differential abundance.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Ignoring batch effects.</w:t>
      </w:r>
      <w:r>
        <w:rPr>
          <w:rFonts w:ascii="Arial" w:cs="Arial" w:eastAsia="Arial" w:hAnsi="Arial"/>
          <w:sz w:val="24"/>
          <w:szCs w:val="24"/>
        </w:rPr>
        <w:t xml:space="preserve"> Samples processed on different days, by different people, or on different sequencing runs often cluster by batch in PCoA before any biology is visible. Always check metadata overlays early.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Multiple testing without correction.</w:t>
      </w:r>
      <w:r>
        <w:rPr>
          <w:rFonts w:ascii="Arial" w:cs="Arial" w:eastAsia="Arial" w:hAnsi="Arial"/>
          <w:sz w:val="24"/>
          <w:szCs w:val="24"/>
        </w:rPr>
        <w:t xml:space="preserve"> Running differential abundance across hundreds of ASVs produces many false positives. Use FDR correction (Benjamini–Hochberg) and report adjusted p-values.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Conflating alpha and beta diversity.</w:t>
      </w:r>
      <w:r>
        <w:rPr>
          <w:rFonts w:ascii="Arial" w:cs="Arial" w:eastAsia="Arial" w:hAnsi="Arial"/>
          <w:sz w:val="24"/>
          <w:szCs w:val="24"/>
        </w:rPr>
        <w:t xml:space="preserve"> High alpha diversity in a sample (rich community) does not mean it will cluster separately in beta diversity — these measure fundamentally different things.</w:t>
      </w:r>
    </w:p>
    <w:p>
      <w:pPr>
        <w:spacing w:after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Reproducibility Best Practices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Recommended as 1–2 closing slides or a dedicated session. These practices are increasingly expected by journals and reviewers.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Pipeline &amp; Parameter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QIIME2 provenance tracking.</w:t>
      </w:r>
      <w:r>
        <w:rPr>
          <w:rFonts w:ascii="Arial" w:cs="Arial" w:eastAsia="Arial" w:hAnsi="Arial"/>
          <w:sz w:val="24"/>
          <w:szCs w:val="24"/>
        </w:rPr>
        <w:t xml:space="preserve"> Every QIIME2 artifact (.qza) stores a complete record of every command, plugin version, and parameter used to produce it. This is automatically generated — use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Record all software versions.</w:t>
      </w:r>
      <w:r>
        <w:rPr>
          <w:rFonts w:ascii="Arial" w:cs="Arial" w:eastAsia="Arial" w:hAnsi="Arial"/>
          <w:sz w:val="24"/>
          <w:szCs w:val="24"/>
        </w:rPr>
        <w:t xml:space="preserve"> Report exact versions of QIIME2, DADA2, cutadapt, and any R packages used. Version differences alone can produce different ASV calls.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Save all parameter choices in a config file or notebook.</w:t>
      </w:r>
      <w:r>
        <w:rPr>
          <w:rFonts w:ascii="Arial" w:cs="Arial" w:eastAsia="Arial" w:hAnsi="Arial"/>
          <w:sz w:val="24"/>
          <w:szCs w:val="24"/>
        </w:rPr>
        <w:t xml:space="preserve"> Hard-coded scripts with buried parameters are not reproducible. Use a named config file or workflow manager (Snakemake, Nextflow) to separate parameters from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your truncation decisions.</w:t>
      </w:r>
      <w:r>
        <w:rPr>
          <w:rFonts w:ascii="Arial" w:cs="Arial" w:eastAsia="Arial" w:hAnsi="Arial"/>
          <w:sz w:val="24"/>
          <w:szCs w:val="24"/>
        </w:rPr>
        <w:t xml:space="preserve"> The forward and reverse truncLen values in DADA2 are study-specific. Record why you chose them and include your raw quality profile plots as supplementary material.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Workflow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Snakemake:</w:t>
      </w:r>
      <w:r>
        <w:rPr>
          <w:rFonts w:ascii="Arial" w:cs="Arial" w:eastAsia="Arial" w:hAnsi="Arial"/>
          <w:sz w:val="24"/>
          <w:szCs w:val="24"/>
        </w:rPr>
        <w:t xml:space="preserve"> Python-based, widely used in bioinformatics. Rules define inputs/outputs; re-runs only what changed. Integrates with conda for environment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Nextflow:</w:t>
      </w:r>
      <w:r>
        <w:rPr>
          <w:rFonts w:ascii="Arial" w:cs="Arial" w:eastAsia="Arial" w:hAnsi="Arial"/>
          <w:sz w:val="24"/>
          <w:szCs w:val="24"/>
        </w:rPr>
        <w:t xml:space="preserve"> Ideal for large-scale HPC/cloud pipelines. nf-core/ampliseq is a community-maintained, validated 16S pipeline built on Nextflow.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Both support containerization</w:t>
      </w:r>
      <w:r>
        <w:rPr>
          <w:rFonts w:ascii="Arial" w:cs="Arial" w:eastAsia="Arial" w:hAnsi="Arial"/>
          <w:sz w:val="24"/>
          <w:szCs w:val="24"/>
        </w:rPr>
        <w:t xml:space="preserve"> (Docker/Singularity), which locks in the entire software environment so results are reproducible across systems and time.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Data Sharing &amp; Transparency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Deposit raw reads in a public repository.</w:t>
      </w:r>
      <w:r>
        <w:rPr>
          <w:rFonts w:ascii="Arial" w:cs="Arial" w:eastAsia="Arial" w:hAnsi="Arial"/>
          <w:sz w:val="24"/>
          <w:szCs w:val="24"/>
        </w:rPr>
        <w:t xml:space="preserve"> NCBI SRA or ENA are standard. Include sample metadata in a MIMARKS-compliant format. Many journals now require this before acceptance.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Share your feature table and metadata.</w:t>
      </w:r>
      <w:r>
        <w:rPr>
          <w:rFonts w:ascii="Arial" w:cs="Arial" w:eastAsia="Arial" w:hAnsi="Arial"/>
          <w:sz w:val="24"/>
          <w:szCs w:val="24"/>
        </w:rPr>
        <w:t xml:space="preserve"> Depositing processed tables (e.g., as QIIME2 .qza artifacts or a plain TSV) allows others to reproduce your downstream analyses without re-running the full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 your analysis scripts.</w:t>
      </w:r>
      <w:r>
        <w:rPr>
          <w:rFonts w:ascii="Arial" w:cs="Arial" w:eastAsia="Arial" w:hAnsi="Arial"/>
          <w:sz w:val="24"/>
          <w:szCs w:val="24"/>
        </w:rPr>
        <w:t xml:space="preserve"> GitHub or Zenodo are appropriate. Tag releases with DOIs for stable citation. Even a well-commented R Markdown or Jupyter notebook is far better than nothing.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Report the reference database and version.</w:t>
      </w:r>
      <w:r>
        <w:rPr>
          <w:rFonts w:ascii="Arial" w:cs="Arial" w:eastAsia="Arial" w:hAnsi="Arial"/>
          <w:sz w:val="24"/>
          <w:szCs w:val="24"/>
        </w:rPr>
        <w:t xml:space="preserve"> SILVA 138 and SILVA 132 produce different taxonomy assignments for some taxa. Always specify database name, version, and any classifier training parameters used.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Computational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conda environments or containers.</w:t>
      </w:r>
      <w:r>
        <w:rPr>
          <w:rFonts w:ascii="Arial" w:cs="Arial" w:eastAsia="Arial" w:hAnsi="Arial"/>
          <w:sz w:val="24"/>
          <w:szCs w:val="24"/>
        </w:rPr>
        <w:t xml:space="preserve"> A conda environment.yml or Docker image captures your entire software stack. Without this, results can drift as packages auto-update.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 random seeds.</w:t>
      </w:r>
      <w:r>
        <w:rPr>
          <w:rFonts w:ascii="Arial" w:cs="Arial" w:eastAsia="Arial" w:hAnsi="Arial"/>
          <w:sz w:val="24"/>
          <w:szCs w:val="24"/>
        </w:rPr>
        <w:t xml:space="preserve"> Any step involving randomness (rarefaction, some ordination methods) should use a fixed, recorded seed so others can reproduce exact numerical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relative paths and a clean project directory structure.</w:t>
      </w:r>
      <w:r>
        <w:rPr>
          <w:rFonts w:ascii="Arial" w:cs="Arial" w:eastAsia="Arial" w:hAnsi="Arial"/>
          <w:sz w:val="24"/>
          <w:szCs w:val="24"/>
        </w:rPr>
        <w:t xml:space="preserve"> Raw data, processed data, scripts, and results in separate subdirectories. Never hard-code absolute paths in shared scripts.</w:t>
      </w:r>
    </w:p>
    <w:p>
      <w:pPr>
        <w:spacing w:after="240"/>
      </w:pPr>
    </w:p>
    <w:p>
      <w:pPr>
        <w:spacing w:after="480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Suggested closing message: </w:t>
      </w: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Reproducibility is not optional — it is what separates a publishable result from an interesting observation. The tools are free, the habit is the hard part.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16S rRNA Microbiome Workshop — Slide Planning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4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B3FA0" w:sz="6" w:space="1"/>
      </w:pBdr>
      <w:spacing w:after="120" w:before="360"/>
      <w:outlineLvl w:val="0"/>
    </w:pPr>
    <w:rPr>
      <w:rFonts w:ascii="Arial" w:cs="Arial" w:eastAsia="Arial" w:hAnsi="Arial"/>
      <w:b/>
      <w:bCs/>
      <w:color w:val="6B3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B3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2026-05-04T16:27:49.652Z</dcterms:created>
  <dcterms:modified xsi:type="dcterms:W3CDTF">2026-05-04T16:27:49.652Z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