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80.000000000002"/>
        </w:tabs>
        <w:bidi w:val="1"/>
        <w:spacing w:line="24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ab/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סמסטר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'</w:t>
      </w:r>
    </w:p>
    <w:p w:rsidR="00000000" w:rsidDel="00000000" w:rsidP="00000000" w:rsidRDefault="00000000" w:rsidRPr="00000000" w14:paraId="00000002">
      <w:pPr>
        <w:bidi w:val="1"/>
        <w:spacing w:line="240" w:lineRule="auto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bidi w:val="1"/>
        <w:spacing w:after="0" w:line="240" w:lineRule="auto"/>
        <w:jc w:val="center"/>
        <w:rPr>
          <w:rFonts w:ascii="David" w:cs="David" w:eastAsia="David" w:hAnsi="David"/>
          <w:b w:val="1"/>
          <w:sz w:val="72"/>
          <w:szCs w:val="72"/>
        </w:rPr>
      </w:pPr>
      <w:bookmarkStart w:colFirst="0" w:colLast="0" w:name="_zdyyfvtwaoop" w:id="0"/>
      <w:bookmarkEnd w:id="0"/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חלונות</w:t>
      </w:r>
    </w:p>
    <w:p w:rsidR="00000000" w:rsidDel="00000000" w:rsidP="00000000" w:rsidRDefault="00000000" w:rsidRPr="00000000" w14:paraId="00000004">
      <w:pPr>
        <w:pStyle w:val="Subtitle"/>
        <w:bidi w:val="1"/>
        <w:spacing w:after="80" w:line="240" w:lineRule="auto"/>
        <w:jc w:val="center"/>
        <w:rPr>
          <w:rFonts w:ascii="David" w:cs="David" w:eastAsia="David" w:hAnsi="David"/>
          <w:i w:val="1"/>
          <w:sz w:val="48"/>
          <w:szCs w:val="48"/>
        </w:rPr>
      </w:pPr>
      <w:bookmarkStart w:colFirst="0" w:colLast="0" w:name="_3zmbbctduazm" w:id="1"/>
      <w:bookmarkEnd w:id="1"/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 6 </w:t>
      </w:r>
    </w:p>
    <w:p w:rsidR="00000000" w:rsidDel="00000000" w:rsidP="00000000" w:rsidRDefault="00000000" w:rsidRPr="00000000" w14:paraId="00000005">
      <w:pPr>
        <w:keepNext w:val="1"/>
        <w:keepLines w:val="1"/>
        <w:bidi w:val="1"/>
        <w:spacing w:before="240" w:line="259" w:lineRule="auto"/>
        <w:jc w:val="both"/>
        <w:rPr>
          <w:rFonts w:ascii="David Libre" w:cs="David Libre" w:eastAsia="David Libre" w:hAnsi="David Libre"/>
          <w:color w:val="366091"/>
          <w:sz w:val="32"/>
          <w:szCs w:val="32"/>
        </w:rPr>
      </w:pP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מטרות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השלב</w:t>
      </w:r>
    </w:p>
    <w:p w:rsidR="00000000" w:rsidDel="00000000" w:rsidP="00000000" w:rsidRDefault="00000000" w:rsidRPr="00000000" w14:paraId="00000006">
      <w:pPr>
        <w:bidi w:val="1"/>
        <w:spacing w:after="240" w:before="240" w:line="276" w:lineRule="auto"/>
        <w:ind w:right="3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0" w:before="240" w:line="276" w:lineRule="auto"/>
        <w:ind w:right="30"/>
        <w:jc w:val="both"/>
        <w:rPr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מפורטות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לשמירת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בקבצי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ומימוש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מחלקת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0"/>
        </w:rPr>
        <w:t xml:space="preserve">DalXml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before="200" w:line="240" w:lineRule="auto"/>
        <w:ind w:left="354.3307086614186" w:hanging="360"/>
        <w:jc w:val="both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DalXml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Library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line="240" w:lineRule="auto"/>
        <w:ind w:left="708.66141732283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Explorer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csproj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המודגשות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PropertyGroup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7"/>
          <w:szCs w:val="17"/>
          <w:shd w:fill="efefef" w:val="clear"/>
          <w:rtl w:val="0"/>
        </w:rPr>
        <w:t xml:space="preserve">Sdk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Microsoft.NET.Sdk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PropertyGroup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TargetFramework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net6.0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TargetFramework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ImplicitUsings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ImplicitUsings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Nullable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Nullable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BaseOutputPath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$(SolutionDir)\bin\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BaseOutputPath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$(SolutionDir)\bin\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AppendTargetFrameworkToOutputPath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AppendTargetFrameworkToOutputPath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AppendRuntimeIdentifierToOutputPath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AppendRuntimeIdentifierToOutputPath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UseCommonOutputDirectory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UseCommonOutputDirectory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RootNamespace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Dal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RootNamespace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PropertyGroup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i w:val="1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ותוודאו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General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המודגשת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המודגשת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$(SolutionDir)\bin\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משתקפות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csproj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(...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Reference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1D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2695575" cy="19891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1188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89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DalFacade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829013" cy="12078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9013" cy="12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וודאו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שהסימון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ההפניות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צביעה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  <w:tab/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2133600" cy="11260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2463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26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114300" distT="114300" distL="114300" distR="114300">
            <wp:extent cx="1533525" cy="10593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2682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59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00" w:line="240" w:lineRule="auto"/>
        <w:ind w:left="354.3307086614186" w:right="0" w:hanging="360"/>
        <w:jc w:val="both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DalXml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שעשינו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DalList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שיחליפו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במרחב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0" w:before="0" w:line="276" w:lineRule="auto"/>
        <w:ind w:right="3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before="0" w:line="276" w:lineRule="auto"/>
        <w:ind w:right="3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DalXml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ברשימת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החבילות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המממשות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במרחב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Dal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מחלקות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מישויות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שעשינו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DalList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7"/>
          <w:szCs w:val="17"/>
          <w:rtl w:val="0"/>
        </w:rPr>
        <w:t xml:space="preserve">internal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מחלקות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הגישה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7"/>
          <w:szCs w:val="17"/>
          <w:shd w:fill="efefef" w:val="clear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efefef" w:val="clear"/>
          <w:rtl w:val="0"/>
        </w:rPr>
        <w:t xml:space="preserve"> Dal;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7"/>
          <w:szCs w:val="17"/>
          <w:shd w:fill="efefef" w:val="clear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efefef" w:val="clear"/>
          <w:rtl w:val="0"/>
        </w:rPr>
        <w:t xml:space="preserve">DalApi;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7"/>
          <w:szCs w:val="17"/>
          <w:shd w:fill="efefef" w:val="clear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efefef" w:val="clear"/>
          <w:rtl w:val="0"/>
        </w:rPr>
        <w:t xml:space="preserve">DO;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17"/>
          <w:szCs w:val="17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i w:val="1"/>
          <w:color w:val="2b91af"/>
          <w:sz w:val="17"/>
          <w:szCs w:val="17"/>
          <w:highlight w:val="yellow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u w:val="single"/>
          <w:shd w:fill="efefef" w:val="clear"/>
          <w:rtl w:val="0"/>
        </w:rPr>
        <w:t xml:space="preserve">internal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7"/>
          <w:szCs w:val="17"/>
          <w:shd w:fill="efefef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b91af"/>
          <w:sz w:val="17"/>
          <w:szCs w:val="17"/>
          <w:highlight w:val="yellow"/>
          <w:rtl w:val="0"/>
        </w:rPr>
        <w:t xml:space="preserve">DoEntity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shd w:fill="efefef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7"/>
          <w:szCs w:val="17"/>
          <w:u w:val="single"/>
          <w:shd w:fill="efefef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2b91af"/>
          <w:sz w:val="17"/>
          <w:szCs w:val="17"/>
          <w:highlight w:val="yellow"/>
          <w:u w:val="single"/>
          <w:rtl w:val="0"/>
        </w:rPr>
        <w:t xml:space="preserve">DoEntity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bidi w:val="1"/>
        <w:spacing w:line="240" w:lineRule="auto"/>
        <w:ind w:left="720" w:firstLine="0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i w:val="1"/>
          <w:sz w:val="24"/>
          <w:szCs w:val="24"/>
          <w:highlight w:val="yellow"/>
          <w:rtl w:val="0"/>
        </w:rPr>
        <w:t xml:space="preserve">DoEntity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שהוגדרה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DalXml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שתממש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IDal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7"/>
          <w:szCs w:val="17"/>
          <w:shd w:fill="efefef" w:val="clear"/>
          <w:rtl w:val="0"/>
        </w:rPr>
        <w:t xml:space="preserve">sealed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7"/>
          <w:szCs w:val="17"/>
          <w:shd w:fill="d9ead3" w:val="clear"/>
          <w:rtl w:val="0"/>
        </w:rPr>
        <w:t xml:space="preserve">internal</w:t>
      </w:r>
      <w:r w:rsidDel="00000000" w:rsidR="00000000" w:rsidRPr="00000000">
        <w:rPr>
          <w:rFonts w:ascii="Consolas" w:cs="Consolas" w:eastAsia="Consolas" w:hAnsi="Consolas"/>
          <w:color w:val="0000ff"/>
          <w:sz w:val="17"/>
          <w:szCs w:val="17"/>
          <w:shd w:fill="efefef" w:val="clear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7"/>
          <w:szCs w:val="17"/>
          <w:shd w:fill="efefef" w:val="clear"/>
          <w:rtl w:val="0"/>
        </w:rPr>
        <w:t xml:space="preserve">DalXml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efefef" w:val="clear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7"/>
          <w:szCs w:val="17"/>
          <w:shd w:fill="efefef" w:val="clear"/>
          <w:rtl w:val="0"/>
        </w:rPr>
        <w:t xml:space="preserve">IDal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כסינגלטון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התכונות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שהוגדרו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IDal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שיחזירו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מטיפוסים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שמממשים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לאתחל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התכונה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בהגדרתה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shd w:fill="efefef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7"/>
          <w:szCs w:val="17"/>
          <w:shd w:fill="efefef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b91af"/>
          <w:sz w:val="17"/>
          <w:szCs w:val="17"/>
          <w:highlight w:val="yellow"/>
          <w:rtl w:val="0"/>
        </w:rPr>
        <w:t xml:space="preserve">DoEntity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b91af"/>
          <w:sz w:val="17"/>
          <w:szCs w:val="17"/>
          <w:highlight w:val="yellow"/>
          <w:rtl w:val="0"/>
        </w:rPr>
        <w:t xml:space="preserve">DoEntity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; } =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efefef" w:val="clear"/>
          <w:rtl w:val="0"/>
        </w:rPr>
        <w:t xml:space="preserve">Dal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b91af"/>
          <w:sz w:val="17"/>
          <w:szCs w:val="17"/>
          <w:highlight w:val="yellow"/>
          <w:rtl w:val="0"/>
        </w:rPr>
        <w:t xml:space="preserve">DoEntity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spacing w:before="200" w:line="240" w:lineRule="auto"/>
        <w:ind w:left="354.3307086614186" w:hanging="360"/>
        <w:jc w:val="both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0" w:before="0" w:line="276" w:lineRule="auto"/>
        <w:ind w:right="3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before="0" w:line="276" w:lineRule="auto"/>
        <w:ind w:right="3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יתווספו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ייכתבו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בפורמט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0" w:before="0" w:line="276" w:lineRule="auto"/>
        <w:ind w:right="3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before="0" w:line="276" w:lineRule="auto"/>
        <w:ind w:right="3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gitignore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שתיקיית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יסונכרנו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0" w:before="0" w:line="276" w:lineRule="auto"/>
        <w:ind w:right="3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before="0" w:line="276" w:lineRule="auto"/>
        <w:ind w:right="30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להוסיפם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סטודיו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bidi w:val="1"/>
        <w:spacing w:before="200" w:line="240" w:lineRule="auto"/>
        <w:ind w:left="354.3307086614186" w:hanging="360"/>
        <w:jc w:val="both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התייחסות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לנתוני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הקונפיגורציה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before="0" w:line="240" w:lineRule="auto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before="0" w:line="240" w:lineRule="auto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להחזיק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קונפיגורציה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276" w:lineRule="auto"/>
        <w:ind w:left="720" w:right="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160" w:line="259" w:lineRule="auto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השכבה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bidi w:val="1"/>
        <w:spacing w:after="0" w:before="0" w:line="276" w:lineRule="auto"/>
        <w:ind w:left="72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XElement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spacing w:after="0" w:before="0" w:line="276" w:lineRule="auto"/>
        <w:ind w:left="72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היישום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bidi w:val="1"/>
        <w:spacing w:after="0" w:before="0" w:line="276" w:lineRule="auto"/>
        <w:ind w:left="72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יווצרו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יגיעו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למאסף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GC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spacing w:after="240" w:before="0" w:line="276" w:lineRule="auto"/>
        <w:ind w:left="72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Serialize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xmlSerialize</w:t>
      </w:r>
    </w:p>
    <w:p w:rsidR="00000000" w:rsidDel="00000000" w:rsidP="00000000" w:rsidRDefault="00000000" w:rsidRPr="00000000" w14:paraId="00000049">
      <w:pPr>
        <w:bidi w:val="1"/>
        <w:spacing w:after="240" w:before="240" w:line="276" w:lineRule="auto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לבזבז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שתתקנו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240" w:before="240" w:line="276" w:lineRule="auto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אחראיות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האיתחולים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Linq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B">
      <w:pPr>
        <w:bidi w:val="1"/>
        <w:spacing w:after="240" w:before="240" w:line="276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240" w:before="240" w:line="276" w:lineRule="auto"/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nsolas"/>
  <w:font w:name="Calibri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