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630ED" w14:textId="51D97B36" w:rsidR="0026136C" w:rsidRDefault="0026136C" w:rsidP="000D3AEA">
      <w:pPr>
        <w:spacing w:after="0"/>
        <w:jc w:val="center"/>
        <w:rPr>
          <w:b/>
          <w:sz w:val="32"/>
        </w:rPr>
      </w:pPr>
      <w:r w:rsidRPr="0016409C">
        <w:rPr>
          <w:b/>
          <w:sz w:val="32"/>
        </w:rPr>
        <w:t>Course Syllabus</w:t>
      </w:r>
      <w:r w:rsidR="006836C5">
        <w:rPr>
          <w:b/>
          <w:sz w:val="32"/>
        </w:rPr>
        <w:t xml:space="preserve"> </w:t>
      </w:r>
      <w:r w:rsidR="003A0751">
        <w:rPr>
          <w:b/>
          <w:sz w:val="32"/>
        </w:rPr>
        <w:t>–</w:t>
      </w:r>
      <w:r w:rsidR="0016409C">
        <w:rPr>
          <w:b/>
          <w:sz w:val="32"/>
        </w:rPr>
        <w:t xml:space="preserve"> </w:t>
      </w:r>
      <w:r w:rsidR="003A0751">
        <w:rPr>
          <w:b/>
          <w:sz w:val="32"/>
        </w:rPr>
        <w:t xml:space="preserve">Valuation </w:t>
      </w:r>
      <w:r w:rsidR="008A4081">
        <w:rPr>
          <w:b/>
          <w:sz w:val="32"/>
        </w:rPr>
        <w:t>for Financial Engineering</w:t>
      </w:r>
      <w:r w:rsidR="006F6B76" w:rsidRPr="0016409C">
        <w:rPr>
          <w:b/>
          <w:sz w:val="32"/>
        </w:rPr>
        <w:t xml:space="preserve"> FRE-6103</w:t>
      </w:r>
    </w:p>
    <w:p w14:paraId="034FBDAE" w14:textId="6203DBF7" w:rsidR="00FF475B" w:rsidRDefault="00FF475B" w:rsidP="000D3AEA">
      <w:pPr>
        <w:spacing w:after="0"/>
        <w:jc w:val="center"/>
      </w:pPr>
      <w:r>
        <w:t>David C. Shimko</w:t>
      </w:r>
      <w:r w:rsidR="005A5331">
        <w:t>, Industry Full Professor of Financial Engineering</w:t>
      </w:r>
    </w:p>
    <w:p w14:paraId="686423CB" w14:textId="6583639F" w:rsidR="003A0751" w:rsidRDefault="005A5331" w:rsidP="000D3AEA">
      <w:pPr>
        <w:spacing w:after="0"/>
        <w:jc w:val="center"/>
      </w:pPr>
      <w:r>
        <w:t>Fall 201</w:t>
      </w:r>
      <w:r w:rsidR="008A4081">
        <w:t>8</w:t>
      </w:r>
    </w:p>
    <w:p w14:paraId="696669E7" w14:textId="77777777" w:rsidR="005A5331" w:rsidRDefault="005A5331" w:rsidP="000D3AEA">
      <w:pPr>
        <w:spacing w:after="0"/>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3780"/>
      </w:tblGrid>
      <w:tr w:rsidR="005A5331" w14:paraId="0F8CBEFF" w14:textId="77777777" w:rsidTr="005A5331">
        <w:trPr>
          <w:jc w:val="center"/>
        </w:trPr>
        <w:tc>
          <w:tcPr>
            <w:tcW w:w="2605" w:type="dxa"/>
          </w:tcPr>
          <w:p w14:paraId="134EB3F2" w14:textId="5AEC9AB1" w:rsidR="005A5331" w:rsidRDefault="005A5331" w:rsidP="005A5331">
            <w:r>
              <w:t>Instructor email:</w:t>
            </w:r>
          </w:p>
        </w:tc>
        <w:tc>
          <w:tcPr>
            <w:tcW w:w="3780" w:type="dxa"/>
          </w:tcPr>
          <w:p w14:paraId="4D59F805" w14:textId="0C1FD88D" w:rsidR="005A5331" w:rsidRDefault="004C42DB" w:rsidP="005A5331">
            <w:hyperlink r:id="rId5" w:history="1">
              <w:r w:rsidR="005A5331" w:rsidRPr="008932AE">
                <w:rPr>
                  <w:rStyle w:val="Hyperlink"/>
                </w:rPr>
                <w:t>david.shimko@nyu.edu</w:t>
              </w:r>
            </w:hyperlink>
          </w:p>
        </w:tc>
      </w:tr>
      <w:tr w:rsidR="005A5331" w14:paraId="273FB7FA" w14:textId="77777777" w:rsidTr="005A5331">
        <w:trPr>
          <w:jc w:val="center"/>
        </w:trPr>
        <w:tc>
          <w:tcPr>
            <w:tcW w:w="2605" w:type="dxa"/>
          </w:tcPr>
          <w:p w14:paraId="2587F4AF" w14:textId="41F76A6B" w:rsidR="005A5331" w:rsidRDefault="005A5331" w:rsidP="005A5331">
            <w:r>
              <w:t>Office:</w:t>
            </w:r>
          </w:p>
        </w:tc>
        <w:tc>
          <w:tcPr>
            <w:tcW w:w="3780" w:type="dxa"/>
          </w:tcPr>
          <w:p w14:paraId="6BC2B251" w14:textId="6B5F6BC0" w:rsidR="001A347A" w:rsidRDefault="005A5331" w:rsidP="001A347A">
            <w:r>
              <w:t xml:space="preserve">Room 271, 12 </w:t>
            </w:r>
            <w:proofErr w:type="spellStart"/>
            <w:r>
              <w:t>Metrotech</w:t>
            </w:r>
            <w:proofErr w:type="spellEnd"/>
            <w:r>
              <w:t>, 26</w:t>
            </w:r>
            <w:r w:rsidRPr="005A5331">
              <w:rPr>
                <w:vertAlign w:val="superscript"/>
              </w:rPr>
              <w:t>th</w:t>
            </w:r>
            <w:r>
              <w:t xml:space="preserve"> Floor</w:t>
            </w:r>
          </w:p>
        </w:tc>
      </w:tr>
      <w:tr w:rsidR="001A347A" w14:paraId="27760239" w14:textId="77777777" w:rsidTr="005A5331">
        <w:trPr>
          <w:jc w:val="center"/>
        </w:trPr>
        <w:tc>
          <w:tcPr>
            <w:tcW w:w="2605" w:type="dxa"/>
          </w:tcPr>
          <w:p w14:paraId="42423C48" w14:textId="753FFDE0" w:rsidR="001A347A" w:rsidRDefault="001A347A" w:rsidP="005A5331">
            <w:r>
              <w:t>Office hours:</w:t>
            </w:r>
          </w:p>
        </w:tc>
        <w:tc>
          <w:tcPr>
            <w:tcW w:w="3780" w:type="dxa"/>
          </w:tcPr>
          <w:p w14:paraId="020F7E89" w14:textId="75B404D6" w:rsidR="001A347A" w:rsidRDefault="001A347A" w:rsidP="005A5331">
            <w:r>
              <w:t>By email appointment</w:t>
            </w:r>
          </w:p>
        </w:tc>
      </w:tr>
      <w:tr w:rsidR="001A347A" w14:paraId="55ADE703" w14:textId="77777777" w:rsidTr="005A5331">
        <w:trPr>
          <w:jc w:val="center"/>
        </w:trPr>
        <w:tc>
          <w:tcPr>
            <w:tcW w:w="2605" w:type="dxa"/>
          </w:tcPr>
          <w:p w14:paraId="4FE125C6" w14:textId="46B5931F" w:rsidR="001A347A" w:rsidRDefault="001A347A" w:rsidP="005A5331">
            <w:r>
              <w:t>Grading assistant:</w:t>
            </w:r>
          </w:p>
        </w:tc>
        <w:tc>
          <w:tcPr>
            <w:tcW w:w="3780" w:type="dxa"/>
          </w:tcPr>
          <w:p w14:paraId="0B72FF04" w14:textId="30A2338B" w:rsidR="001A347A" w:rsidRDefault="0083510F" w:rsidP="0083510F">
            <w:r>
              <w:t>TBD</w:t>
            </w:r>
          </w:p>
        </w:tc>
      </w:tr>
    </w:tbl>
    <w:p w14:paraId="1092FABC" w14:textId="77777777" w:rsidR="005A5331" w:rsidRDefault="005A5331" w:rsidP="005A5331">
      <w:pPr>
        <w:spacing w:after="0"/>
      </w:pPr>
    </w:p>
    <w:p w14:paraId="046883C9" w14:textId="03167BAB" w:rsidR="005A5331" w:rsidRPr="001A347A" w:rsidRDefault="005A5331" w:rsidP="005A5331">
      <w:pPr>
        <w:spacing w:after="0"/>
        <w:rPr>
          <w:b/>
        </w:rPr>
      </w:pPr>
      <w:r w:rsidRPr="001A347A">
        <w:rPr>
          <w:b/>
        </w:rPr>
        <w:t>Course description:</w:t>
      </w:r>
    </w:p>
    <w:p w14:paraId="4C47C2D9" w14:textId="77777777" w:rsidR="005A5331" w:rsidRDefault="005A5331" w:rsidP="000D3AEA">
      <w:pPr>
        <w:spacing w:after="0"/>
        <w:jc w:val="center"/>
      </w:pPr>
    </w:p>
    <w:p w14:paraId="4EEA5915" w14:textId="4B669968" w:rsidR="005A5331" w:rsidRDefault="005A5331" w:rsidP="005A5331">
      <w:pPr>
        <w:spacing w:after="0"/>
        <w:ind w:left="810"/>
      </w:pPr>
      <w:r>
        <w:t xml:space="preserve">FRE 6103 introduces financial engineers to robust risk-based valuation methods in discrete and continuous time.  This includes four major applications:  cash flows, traded derivative contracts, nontraded and embedded derivatives, and corporate assets &amp; liabilities.  </w:t>
      </w:r>
    </w:p>
    <w:p w14:paraId="3A180A04" w14:textId="77777777" w:rsidR="005A5331" w:rsidRDefault="005A5331" w:rsidP="005A5331">
      <w:pPr>
        <w:spacing w:after="0"/>
        <w:ind w:left="810"/>
      </w:pPr>
    </w:p>
    <w:p w14:paraId="0F685E10" w14:textId="77777777" w:rsidR="005A5331" w:rsidRDefault="005A5331" w:rsidP="005A5331">
      <w:pPr>
        <w:pStyle w:val="ListParagraph"/>
        <w:numPr>
          <w:ilvl w:val="0"/>
          <w:numId w:val="2"/>
        </w:numPr>
        <w:spacing w:after="0"/>
        <w:ind w:left="1440" w:hanging="630"/>
      </w:pPr>
      <w:r>
        <w:t xml:space="preserve">“Cash flows” refers to risk-free and risky payments or expenditures.  </w:t>
      </w:r>
    </w:p>
    <w:p w14:paraId="31ED40B7" w14:textId="049D0CA0" w:rsidR="005A5331" w:rsidRDefault="005A5331" w:rsidP="005A5331">
      <w:pPr>
        <w:pStyle w:val="ListParagraph"/>
        <w:numPr>
          <w:ilvl w:val="0"/>
          <w:numId w:val="2"/>
        </w:numPr>
        <w:spacing w:after="0"/>
        <w:ind w:left="1440" w:hanging="630"/>
      </w:pPr>
      <w:r>
        <w:t xml:space="preserve">“Traded derivatives” include a high level treatment of forward contracts and the most commonly traded option contracts.  </w:t>
      </w:r>
    </w:p>
    <w:p w14:paraId="75D86918" w14:textId="77777777" w:rsidR="005A5331" w:rsidRDefault="005A5331" w:rsidP="005A5331">
      <w:pPr>
        <w:pStyle w:val="ListParagraph"/>
        <w:numPr>
          <w:ilvl w:val="0"/>
          <w:numId w:val="2"/>
        </w:numPr>
        <w:spacing w:after="0"/>
        <w:ind w:left="1440" w:hanging="630"/>
      </w:pPr>
      <w:r>
        <w:t xml:space="preserve">“Nontraded and embedded derivatives” refer to contingent cash flows created in the normal processes of contracting and asset management  </w:t>
      </w:r>
    </w:p>
    <w:p w14:paraId="0A44BBE7" w14:textId="77777777" w:rsidR="005A5331" w:rsidRDefault="005A5331" w:rsidP="005A5331">
      <w:pPr>
        <w:pStyle w:val="ListParagraph"/>
        <w:numPr>
          <w:ilvl w:val="0"/>
          <w:numId w:val="2"/>
        </w:numPr>
        <w:spacing w:after="0"/>
        <w:ind w:left="1440" w:hanging="630"/>
      </w:pPr>
      <w:r>
        <w:t>“Corporate assets” refer to claims to cash flows owned and managed by corporations</w:t>
      </w:r>
    </w:p>
    <w:p w14:paraId="09E93BE7" w14:textId="77777777" w:rsidR="005A5331" w:rsidRDefault="005A5331" w:rsidP="005A5331">
      <w:pPr>
        <w:pStyle w:val="ListParagraph"/>
        <w:numPr>
          <w:ilvl w:val="0"/>
          <w:numId w:val="2"/>
        </w:numPr>
        <w:spacing w:after="0"/>
        <w:ind w:left="1440" w:hanging="630"/>
      </w:pPr>
      <w:r>
        <w:t>“Corporate liabilities” refers to corporate-issued securities or other payment obligations incurred by corporations</w:t>
      </w:r>
    </w:p>
    <w:p w14:paraId="53ABBC1F" w14:textId="77777777" w:rsidR="005A5331" w:rsidRDefault="005A5331" w:rsidP="005A5331">
      <w:pPr>
        <w:pStyle w:val="ListParagraph"/>
        <w:spacing w:after="0"/>
        <w:ind w:left="810"/>
      </w:pPr>
    </w:p>
    <w:p w14:paraId="7E5CDBBB" w14:textId="76535E40" w:rsidR="005A5331" w:rsidRDefault="005A5331" w:rsidP="005A5331">
      <w:pPr>
        <w:spacing w:after="0"/>
        <w:ind w:left="810"/>
      </w:pPr>
      <w:r>
        <w:t xml:space="preserve">This is not a generalist MBA finance course.  Being designed for engineers, it focuses on deep analytical methods, is computational in nature, and is driven by practical problems encountered by finance professionals.  Being an introductory core course, it does not go into depth into all subject areas, but provides a suitable and broad foundation for advanced elective courses in advanced valuation, corporate finance, </w:t>
      </w:r>
      <w:r w:rsidR="001A347A">
        <w:t xml:space="preserve">investment, </w:t>
      </w:r>
      <w:r>
        <w:t>derivatives, and trading.</w:t>
      </w:r>
    </w:p>
    <w:p w14:paraId="6F251F6B" w14:textId="77777777" w:rsidR="005A5331" w:rsidRDefault="005A5331" w:rsidP="005A5331">
      <w:pPr>
        <w:spacing w:after="0"/>
      </w:pPr>
    </w:p>
    <w:p w14:paraId="71A9A6D5" w14:textId="7C791F31" w:rsidR="005A5331" w:rsidRPr="001A347A" w:rsidRDefault="005A5331" w:rsidP="005A5331">
      <w:pPr>
        <w:spacing w:after="0"/>
        <w:rPr>
          <w:b/>
        </w:rPr>
      </w:pPr>
      <w:r w:rsidRPr="001A347A">
        <w:rPr>
          <w:b/>
        </w:rPr>
        <w:t>Instructor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6"/>
        <w:gridCol w:w="6864"/>
      </w:tblGrid>
      <w:tr w:rsidR="003A0751" w14:paraId="2A95E0FF" w14:textId="77777777" w:rsidTr="005A5331">
        <w:tc>
          <w:tcPr>
            <w:tcW w:w="2496" w:type="dxa"/>
          </w:tcPr>
          <w:p w14:paraId="5064331E" w14:textId="47623709" w:rsidR="003A0751" w:rsidRDefault="003A0751" w:rsidP="00FA0AC6">
            <w:pPr>
              <w:rPr>
                <w:noProof/>
              </w:rPr>
            </w:pPr>
          </w:p>
          <w:p w14:paraId="2F09D64C" w14:textId="77777777" w:rsidR="003A0751" w:rsidRDefault="003A0751" w:rsidP="00FA0AC6">
            <w:pPr>
              <w:jc w:val="center"/>
            </w:pPr>
            <w:r>
              <w:rPr>
                <w:noProof/>
              </w:rPr>
              <w:drawing>
                <wp:inline distT="0" distB="0" distL="0" distR="0" wp14:anchorId="1764BF5B" wp14:editId="0F0DB352">
                  <wp:extent cx="14478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imko prof photo.jpg"/>
                          <pic:cNvPicPr/>
                        </pic:nvPicPr>
                        <pic:blipFill>
                          <a:blip r:embed="rId6">
                            <a:extLst>
                              <a:ext uri="{28A0092B-C50C-407E-A947-70E740481C1C}">
                                <a14:useLocalDpi xmlns:a14="http://schemas.microsoft.com/office/drawing/2010/main" val="0"/>
                              </a:ext>
                            </a:extLst>
                          </a:blip>
                          <a:stretch>
                            <a:fillRect/>
                          </a:stretch>
                        </pic:blipFill>
                        <pic:spPr>
                          <a:xfrm>
                            <a:off x="0" y="0"/>
                            <a:ext cx="1447800" cy="1447800"/>
                          </a:xfrm>
                          <a:prstGeom prst="rect">
                            <a:avLst/>
                          </a:prstGeom>
                        </pic:spPr>
                      </pic:pic>
                    </a:graphicData>
                  </a:graphic>
                </wp:inline>
              </w:drawing>
            </w:r>
            <w:r>
              <w:t>Prof David C. Shimko</w:t>
            </w:r>
          </w:p>
        </w:tc>
        <w:tc>
          <w:tcPr>
            <w:tcW w:w="6864" w:type="dxa"/>
          </w:tcPr>
          <w:p w14:paraId="276EF7A1" w14:textId="77777777" w:rsidR="003A0751" w:rsidRPr="00AA7250" w:rsidRDefault="003A0751" w:rsidP="00FA0AC6">
            <w:pPr>
              <w:rPr>
                <w:i/>
                <w:sz w:val="20"/>
              </w:rPr>
            </w:pPr>
            <w:r w:rsidRPr="00AA7250">
              <w:rPr>
                <w:i/>
                <w:sz w:val="20"/>
              </w:rPr>
              <w:t>Resume in brief:</w:t>
            </w:r>
          </w:p>
          <w:p w14:paraId="671EA30B" w14:textId="77777777" w:rsidR="003A0751" w:rsidRPr="00AA7250" w:rsidRDefault="003A0751" w:rsidP="00FA0AC6">
            <w:pPr>
              <w:pStyle w:val="ListParagraph"/>
              <w:numPr>
                <w:ilvl w:val="0"/>
                <w:numId w:val="1"/>
              </w:numPr>
              <w:rPr>
                <w:sz w:val="20"/>
              </w:rPr>
            </w:pPr>
            <w:r w:rsidRPr="00AA7250">
              <w:rPr>
                <w:sz w:val="20"/>
              </w:rPr>
              <w:t>Assistant Professor, Marshall School, USC</w:t>
            </w:r>
          </w:p>
          <w:p w14:paraId="1D61C8BF" w14:textId="77777777" w:rsidR="003A0751" w:rsidRPr="00AA7250" w:rsidRDefault="003A0751" w:rsidP="00FA0AC6">
            <w:pPr>
              <w:pStyle w:val="ListParagraph"/>
              <w:numPr>
                <w:ilvl w:val="0"/>
                <w:numId w:val="1"/>
              </w:numPr>
              <w:rPr>
                <w:sz w:val="20"/>
              </w:rPr>
            </w:pPr>
            <w:r w:rsidRPr="00AA7250">
              <w:rPr>
                <w:sz w:val="20"/>
              </w:rPr>
              <w:t>Adjunct Professor, Harvard Business School</w:t>
            </w:r>
          </w:p>
          <w:p w14:paraId="4B5F0281" w14:textId="77777777" w:rsidR="003A0751" w:rsidRPr="00AA7250" w:rsidRDefault="003A0751" w:rsidP="00FA0AC6">
            <w:pPr>
              <w:pStyle w:val="ListParagraph"/>
              <w:numPr>
                <w:ilvl w:val="0"/>
                <w:numId w:val="1"/>
              </w:numPr>
              <w:rPr>
                <w:sz w:val="20"/>
              </w:rPr>
            </w:pPr>
            <w:r w:rsidRPr="00AA7250">
              <w:rPr>
                <w:sz w:val="20"/>
              </w:rPr>
              <w:t>Adjunct Professor, NYU Courant</w:t>
            </w:r>
          </w:p>
          <w:p w14:paraId="16EFF4C5" w14:textId="77777777" w:rsidR="003A0751" w:rsidRPr="00AA7250" w:rsidRDefault="003A0751" w:rsidP="00FA0AC6">
            <w:pPr>
              <w:pStyle w:val="ListParagraph"/>
              <w:numPr>
                <w:ilvl w:val="0"/>
                <w:numId w:val="1"/>
              </w:numPr>
              <w:rPr>
                <w:sz w:val="20"/>
              </w:rPr>
            </w:pPr>
            <w:r w:rsidRPr="00AA7250">
              <w:rPr>
                <w:sz w:val="20"/>
              </w:rPr>
              <w:t>Head of Commodity Derivatives Research, JPMorgan</w:t>
            </w:r>
          </w:p>
          <w:p w14:paraId="0E8DDE3F" w14:textId="77777777" w:rsidR="003A0751" w:rsidRPr="00AA7250" w:rsidRDefault="003A0751" w:rsidP="00FA0AC6">
            <w:pPr>
              <w:pStyle w:val="ListParagraph"/>
              <w:numPr>
                <w:ilvl w:val="0"/>
                <w:numId w:val="1"/>
              </w:numPr>
              <w:rPr>
                <w:sz w:val="20"/>
              </w:rPr>
            </w:pPr>
            <w:r w:rsidRPr="00AA7250">
              <w:rPr>
                <w:sz w:val="20"/>
              </w:rPr>
              <w:t>Head of Credit Research, JPMorgan</w:t>
            </w:r>
          </w:p>
          <w:p w14:paraId="7393BE99" w14:textId="77777777" w:rsidR="003A0751" w:rsidRPr="00AA7250" w:rsidRDefault="003A0751" w:rsidP="00FA0AC6">
            <w:pPr>
              <w:pStyle w:val="ListParagraph"/>
              <w:numPr>
                <w:ilvl w:val="0"/>
                <w:numId w:val="1"/>
              </w:numPr>
              <w:rPr>
                <w:sz w:val="20"/>
              </w:rPr>
            </w:pPr>
            <w:r w:rsidRPr="00AA7250">
              <w:rPr>
                <w:sz w:val="20"/>
              </w:rPr>
              <w:t>Head of Risk Management Advisory, Bankers Trust</w:t>
            </w:r>
          </w:p>
          <w:p w14:paraId="0603D7C4" w14:textId="77777777" w:rsidR="003A0751" w:rsidRPr="00AA7250" w:rsidRDefault="003A0751" w:rsidP="00FA0AC6">
            <w:pPr>
              <w:pStyle w:val="ListParagraph"/>
              <w:numPr>
                <w:ilvl w:val="0"/>
                <w:numId w:val="1"/>
              </w:numPr>
              <w:rPr>
                <w:sz w:val="20"/>
              </w:rPr>
            </w:pPr>
            <w:r w:rsidRPr="00AA7250">
              <w:rPr>
                <w:sz w:val="20"/>
              </w:rPr>
              <w:t>CEO and co-founder of Risk Capital, an independent risk advisory firm</w:t>
            </w:r>
          </w:p>
          <w:p w14:paraId="5C792822" w14:textId="77777777" w:rsidR="003A0751" w:rsidRDefault="003A0751" w:rsidP="00FA0AC6">
            <w:pPr>
              <w:pStyle w:val="ListParagraph"/>
              <w:numPr>
                <w:ilvl w:val="0"/>
                <w:numId w:val="1"/>
              </w:numPr>
              <w:rPr>
                <w:sz w:val="20"/>
              </w:rPr>
            </w:pPr>
            <w:r w:rsidRPr="00AA7250">
              <w:rPr>
                <w:sz w:val="20"/>
              </w:rPr>
              <w:t xml:space="preserve">CEO and co-founder of </w:t>
            </w:r>
            <w:proofErr w:type="spellStart"/>
            <w:r w:rsidRPr="00AA7250">
              <w:rPr>
                <w:sz w:val="20"/>
              </w:rPr>
              <w:t>CreditCircle</w:t>
            </w:r>
            <w:proofErr w:type="spellEnd"/>
            <w:r w:rsidRPr="00AA7250">
              <w:rPr>
                <w:sz w:val="20"/>
              </w:rPr>
              <w:t>, a marketplace lending platform</w:t>
            </w:r>
          </w:p>
          <w:p w14:paraId="2F058774" w14:textId="77777777" w:rsidR="003A0751" w:rsidRPr="00AA7250" w:rsidRDefault="003A0751" w:rsidP="00FA0AC6">
            <w:pPr>
              <w:pStyle w:val="ListParagraph"/>
              <w:numPr>
                <w:ilvl w:val="0"/>
                <w:numId w:val="1"/>
              </w:numPr>
              <w:rPr>
                <w:sz w:val="20"/>
              </w:rPr>
            </w:pPr>
            <w:r>
              <w:rPr>
                <w:sz w:val="20"/>
              </w:rPr>
              <w:t>Director of public, private and non-profit entities including GARP</w:t>
            </w:r>
          </w:p>
          <w:p w14:paraId="022A4496" w14:textId="77777777" w:rsidR="003A0751" w:rsidRDefault="003A0751" w:rsidP="00FA0AC6">
            <w:pPr>
              <w:pStyle w:val="ListParagraph"/>
              <w:numPr>
                <w:ilvl w:val="0"/>
                <w:numId w:val="1"/>
              </w:numPr>
            </w:pPr>
            <w:r w:rsidRPr="00AA7250">
              <w:rPr>
                <w:sz w:val="20"/>
              </w:rPr>
              <w:t>Widely published in derivatives valuation, risk management, commodities and credit</w:t>
            </w:r>
          </w:p>
        </w:tc>
      </w:tr>
    </w:tbl>
    <w:p w14:paraId="52E55A73" w14:textId="77777777" w:rsidR="003A0751" w:rsidRDefault="003A0751" w:rsidP="003A0751"/>
    <w:p w14:paraId="5A066CA6" w14:textId="77777777" w:rsidR="005A5331" w:rsidRDefault="005A5331" w:rsidP="003A0751">
      <w:pPr>
        <w:shd w:val="clear" w:color="auto" w:fill="FFFFFF"/>
        <w:rPr>
          <w:b/>
        </w:rPr>
      </w:pPr>
    </w:p>
    <w:p w14:paraId="4382FAA4" w14:textId="77777777" w:rsidR="005A5331" w:rsidRDefault="005A5331" w:rsidP="003A0751">
      <w:pPr>
        <w:shd w:val="clear" w:color="auto" w:fill="FFFFFF"/>
        <w:rPr>
          <w:b/>
        </w:rPr>
      </w:pPr>
    </w:p>
    <w:p w14:paraId="12D6335B" w14:textId="61B12B20" w:rsidR="005A5331" w:rsidRPr="001A347A" w:rsidRDefault="001A347A" w:rsidP="003A0751">
      <w:pPr>
        <w:shd w:val="clear" w:color="auto" w:fill="FFFFFF"/>
        <w:rPr>
          <w:b/>
        </w:rPr>
      </w:pPr>
      <w:r w:rsidRPr="001A347A">
        <w:rPr>
          <w:b/>
        </w:rPr>
        <w:t>Class organization:</w:t>
      </w:r>
    </w:p>
    <w:p w14:paraId="43CBC704" w14:textId="43BEDA48" w:rsidR="003A0751" w:rsidRDefault="003A0751" w:rsidP="003A0751">
      <w:pPr>
        <w:shd w:val="clear" w:color="auto" w:fill="FFFFFF"/>
      </w:pPr>
      <w:r w:rsidRPr="001A347A">
        <w:rPr>
          <w:i/>
        </w:rPr>
        <w:t>Required text</w:t>
      </w:r>
      <w:r w:rsidR="00367172">
        <w:rPr>
          <w:i/>
        </w:rPr>
        <w:t>s</w:t>
      </w:r>
      <w:r w:rsidRPr="001A347A">
        <w:rPr>
          <w:i/>
        </w:rPr>
        <w:t>:</w:t>
      </w:r>
      <w:r>
        <w:t xml:space="preserve">  </w:t>
      </w:r>
      <w:r w:rsidRPr="003A0751">
        <w:rPr>
          <w:u w:val="single"/>
        </w:rPr>
        <w:t>Valuation for Financial Engineers</w:t>
      </w:r>
      <w:r>
        <w:t xml:space="preserve">, class notes to be provided by Prof Shimko.  </w:t>
      </w:r>
      <w:r w:rsidR="00367172">
        <w:t xml:space="preserve">This will be provided free of charge on NYU Classes.  </w:t>
      </w:r>
      <w:r w:rsidR="00367172" w:rsidRPr="00367172">
        <w:rPr>
          <w:u w:val="single"/>
        </w:rPr>
        <w:t>Corporate Finance</w:t>
      </w:r>
      <w:r w:rsidR="00367172">
        <w:t>, 4</w:t>
      </w:r>
      <w:r w:rsidR="00367172" w:rsidRPr="00367172">
        <w:rPr>
          <w:vertAlign w:val="superscript"/>
        </w:rPr>
        <w:t>th</w:t>
      </w:r>
      <w:r w:rsidR="00367172">
        <w:t xml:space="preserve"> Edition (MFE Version) by Ivo Welch is </w:t>
      </w:r>
      <w:r w:rsidR="009C587A">
        <w:t>recommended</w:t>
      </w:r>
      <w:r w:rsidR="00367172">
        <w:t>.  The Welch text is available free online or a pri</w:t>
      </w:r>
      <w:r w:rsidR="0083510F">
        <w:t>n</w:t>
      </w:r>
      <w:r w:rsidR="00367172">
        <w:t xml:space="preserve">t copy may be purchased.  </w:t>
      </w:r>
      <w:r>
        <w:t>Other readings may be used as supplements and will be provided to students as needed.</w:t>
      </w:r>
    </w:p>
    <w:p w14:paraId="7B9ECB1A" w14:textId="77777777" w:rsidR="003A0751" w:rsidRPr="00461824" w:rsidRDefault="003A0751" w:rsidP="003A0751">
      <w:pPr>
        <w:shd w:val="clear" w:color="auto" w:fill="FFFFFF"/>
      </w:pPr>
      <w:r w:rsidRPr="001A347A">
        <w:rPr>
          <w:i/>
        </w:rPr>
        <w:t>NYU Classes:</w:t>
      </w:r>
      <w:r>
        <w:t xml:space="preserve">  Please follow the course requirements online weekly, as they are likely to change as the term progresses.</w:t>
      </w:r>
    </w:p>
    <w:p w14:paraId="15E29ECE" w14:textId="7DC66602" w:rsidR="003A0751" w:rsidRDefault="003A0751" w:rsidP="003A0751">
      <w:r w:rsidRPr="001A347A">
        <w:rPr>
          <w:i/>
        </w:rPr>
        <w:t>Recommended calculators:</w:t>
      </w:r>
      <w:r>
        <w:t xml:space="preserve">  I personally prefer the traditional HP 12C, and will use it in class.  This does not mean you have to use it.  It requires “reverse Polish sequences” for which I will provide an instruction note.  You may also use the Texas Instrument BA II PLUS (Professional) calculator (or TI 83, TI 83 Plus).  You may also use a smart phone app</w:t>
      </w:r>
      <w:r w:rsidR="009C587A">
        <w:t xml:space="preserve"> or simply use Excel in class.</w:t>
      </w:r>
    </w:p>
    <w:p w14:paraId="31F31024" w14:textId="359D3AC9" w:rsidR="003A0751" w:rsidRDefault="003A0751" w:rsidP="003A0751">
      <w:r w:rsidRPr="001A347A">
        <w:rPr>
          <w:i/>
        </w:rPr>
        <w:t>Recommended analytic software:</w:t>
      </w:r>
      <w:r>
        <w:t xml:space="preserve">  I prefer Excel and VBA, not for its elegance or ease of use, but for the ease of collaboration and visualization with colleagues, supervisors and clients.   </w:t>
      </w:r>
      <w:r w:rsidR="005A5331" w:rsidRPr="005A5331">
        <w:rPr>
          <w:b/>
        </w:rPr>
        <w:t>You must have access to Excel to complete your assignments.</w:t>
      </w:r>
      <w:r w:rsidR="005A5331">
        <w:t xml:space="preserve">  </w:t>
      </w:r>
      <w:r>
        <w:t xml:space="preserve">You are </w:t>
      </w:r>
      <w:r w:rsidR="005A5331">
        <w:t xml:space="preserve">also </w:t>
      </w:r>
      <w:r>
        <w:t xml:space="preserve">welcome to use </w:t>
      </w:r>
      <w:r w:rsidR="005A5331">
        <w:t>Python</w:t>
      </w:r>
      <w:r>
        <w:t xml:space="preserve"> or R for technical work, and for completing your project</w:t>
      </w:r>
      <w:r w:rsidR="005A5331">
        <w:t>s</w:t>
      </w:r>
      <w:r>
        <w:t>.</w:t>
      </w:r>
    </w:p>
    <w:p w14:paraId="54BEFD9C" w14:textId="4B63228D" w:rsidR="003A0751" w:rsidRDefault="003A0751" w:rsidP="003A0751">
      <w:r w:rsidRPr="001A347A">
        <w:rPr>
          <w:i/>
        </w:rPr>
        <w:t>Course grading:</w:t>
      </w:r>
      <w:r>
        <w:t xml:space="preserve">  </w:t>
      </w:r>
      <w:r w:rsidR="001A347A">
        <w:t>This will be a combination of homework</w:t>
      </w:r>
      <w:r w:rsidR="009C587A">
        <w:t xml:space="preserve"> (25%)</w:t>
      </w:r>
      <w:r w:rsidR="001A347A">
        <w:t xml:space="preserve">, </w:t>
      </w:r>
      <w:r w:rsidR="009C587A">
        <w:t>the midterm exam (25%),</w:t>
      </w:r>
      <w:r w:rsidR="001A347A">
        <w:t xml:space="preserve"> </w:t>
      </w:r>
      <w:proofErr w:type="gramStart"/>
      <w:r w:rsidR="009C587A">
        <w:t>your</w:t>
      </w:r>
      <w:proofErr w:type="gramEnd"/>
      <w:r w:rsidR="009C587A">
        <w:t xml:space="preserve"> </w:t>
      </w:r>
      <w:r w:rsidR="001A347A">
        <w:t>project</w:t>
      </w:r>
      <w:r w:rsidR="009C587A">
        <w:t xml:space="preserve"> with one partner (25%)</w:t>
      </w:r>
      <w:r w:rsidR="001A347A">
        <w:t xml:space="preserve">, </w:t>
      </w:r>
      <w:r w:rsidR="009C587A">
        <w:t>and</w:t>
      </w:r>
      <w:r w:rsidR="001A347A">
        <w:t xml:space="preserve"> class participation</w:t>
      </w:r>
      <w:r w:rsidR="009C587A">
        <w:t xml:space="preserve"> (25%)</w:t>
      </w:r>
      <w:r w:rsidR="001A347A">
        <w:t>.</w:t>
      </w:r>
      <w:r>
        <w:t xml:space="preserve">   </w:t>
      </w:r>
    </w:p>
    <w:p w14:paraId="3E141CEB" w14:textId="6BE4F50D" w:rsidR="003A0751" w:rsidRDefault="003A0751" w:rsidP="003A0751">
      <w:r w:rsidRPr="001A347A">
        <w:rPr>
          <w:i/>
        </w:rPr>
        <w:t>Missed class policy:</w:t>
      </w:r>
      <w:r>
        <w:t xml:space="preserve">  If you do miss a class, it is your responsibility to cover the course with notes from your fellow students.  I cannot make class notes or recordings available.</w:t>
      </w:r>
    </w:p>
    <w:p w14:paraId="24A635A5" w14:textId="716033BA" w:rsidR="003A0751" w:rsidRDefault="003A0751" w:rsidP="003A0751">
      <w:r w:rsidRPr="001A347A">
        <w:rPr>
          <w:i/>
        </w:rPr>
        <w:t>Office hours:</w:t>
      </w:r>
      <w:r>
        <w:t xml:space="preserve">  </w:t>
      </w:r>
      <w:r w:rsidR="0083510F">
        <w:t>GA hours TBD.  Prof Shimko</w:t>
      </w:r>
      <w:r>
        <w:t xml:space="preserve"> by </w:t>
      </w:r>
      <w:r w:rsidR="0083510F">
        <w:t xml:space="preserve">email </w:t>
      </w:r>
      <w:r>
        <w:t>appointment on the 26</w:t>
      </w:r>
      <w:r w:rsidRPr="009C17B9">
        <w:rPr>
          <w:vertAlign w:val="superscript"/>
        </w:rPr>
        <w:t>th</w:t>
      </w:r>
      <w:r>
        <w:t xml:space="preserve"> Floor of 12 </w:t>
      </w:r>
      <w:proofErr w:type="spellStart"/>
      <w:r>
        <w:t>Metrotech</w:t>
      </w:r>
      <w:proofErr w:type="spellEnd"/>
      <w:r>
        <w:t>.</w:t>
      </w:r>
    </w:p>
    <w:p w14:paraId="0B4D8158" w14:textId="77777777" w:rsidR="003A0751" w:rsidRDefault="003A0751" w:rsidP="008659DC">
      <w:pPr>
        <w:spacing w:after="0"/>
      </w:pPr>
    </w:p>
    <w:p w14:paraId="3417AC94" w14:textId="35A9B085" w:rsidR="001C4BBC" w:rsidRDefault="001C4BBC" w:rsidP="008659DC">
      <w:pPr>
        <w:spacing w:after="0"/>
      </w:pPr>
      <w:r w:rsidRPr="001A347A">
        <w:rPr>
          <w:i/>
        </w:rPr>
        <w:t>NYU Class Prerequisites</w:t>
      </w:r>
      <w:r>
        <w:t>:</w:t>
      </w:r>
      <w:r>
        <w:tab/>
      </w:r>
      <w:r w:rsidR="001A347A">
        <w:tab/>
      </w:r>
      <w:r>
        <w:t>None</w:t>
      </w:r>
      <w:r w:rsidR="00DF4774">
        <w:t xml:space="preserve"> for FRE students</w:t>
      </w:r>
      <w:r w:rsidR="0033603E">
        <w:t xml:space="preserve"> </w:t>
      </w:r>
    </w:p>
    <w:p w14:paraId="5E430570" w14:textId="385C67FD" w:rsidR="001C4BBC" w:rsidRDefault="001C4BBC" w:rsidP="008659DC">
      <w:pPr>
        <w:spacing w:after="0"/>
      </w:pPr>
      <w:r w:rsidRPr="001A347A">
        <w:rPr>
          <w:i/>
        </w:rPr>
        <w:t>Functional prerequisites</w:t>
      </w:r>
      <w:r>
        <w:t>:</w:t>
      </w:r>
      <w:r>
        <w:tab/>
      </w:r>
      <w:r w:rsidR="009C587A">
        <w:t>Calculus</w:t>
      </w:r>
      <w:r>
        <w:t>, Linear algebra</w:t>
      </w:r>
    </w:p>
    <w:p w14:paraId="4C3474A6" w14:textId="77777777" w:rsidR="001C4BBC" w:rsidRDefault="001C4BBC" w:rsidP="008659DC">
      <w:pPr>
        <w:spacing w:after="0"/>
      </w:pPr>
      <w:r w:rsidRPr="001A347A">
        <w:rPr>
          <w:i/>
        </w:rPr>
        <w:t>A</w:t>
      </w:r>
      <w:r w:rsidR="0076485D" w:rsidRPr="001A347A">
        <w:rPr>
          <w:i/>
        </w:rPr>
        <w:t xml:space="preserve">nalytical </w:t>
      </w:r>
      <w:r w:rsidRPr="001A347A">
        <w:rPr>
          <w:i/>
        </w:rPr>
        <w:t>skills taught</w:t>
      </w:r>
      <w:r>
        <w:t>:</w:t>
      </w:r>
      <w:r>
        <w:tab/>
      </w:r>
      <w:r>
        <w:tab/>
        <w:t>Basic stochastic calculus, simulation, financial reasoning</w:t>
      </w:r>
    </w:p>
    <w:p w14:paraId="136BF1C7" w14:textId="18FD3EE0" w:rsidR="001A33EF" w:rsidRDefault="001A33EF">
      <w:r>
        <w:br w:type="page"/>
      </w:r>
    </w:p>
    <w:p w14:paraId="4661E719" w14:textId="77777777" w:rsidR="0076485D" w:rsidRDefault="0076485D" w:rsidP="008659DC">
      <w:pPr>
        <w:spacing w:after="0"/>
      </w:pPr>
    </w:p>
    <w:p w14:paraId="2F27213B" w14:textId="777D4FDA" w:rsidR="001C4BBC" w:rsidRPr="001A347A" w:rsidRDefault="001A347A" w:rsidP="008659DC">
      <w:pPr>
        <w:spacing w:after="0"/>
        <w:rPr>
          <w:b/>
        </w:rPr>
      </w:pPr>
      <w:r w:rsidRPr="001A347A">
        <w:rPr>
          <w:b/>
        </w:rPr>
        <w:t>Class outline, subject to revisions:</w:t>
      </w:r>
    </w:p>
    <w:p w14:paraId="7981F894" w14:textId="77777777" w:rsidR="0076485D" w:rsidRDefault="0076485D" w:rsidP="008659DC">
      <w:pPr>
        <w:spacing w:after="0"/>
      </w:pPr>
    </w:p>
    <w:tbl>
      <w:tblPr>
        <w:tblStyle w:val="TableGrid"/>
        <w:tblW w:w="6619" w:type="dxa"/>
        <w:tblLook w:val="04A0" w:firstRow="1" w:lastRow="0" w:firstColumn="1" w:lastColumn="0" w:noHBand="0" w:noVBand="1"/>
      </w:tblPr>
      <w:tblGrid>
        <w:gridCol w:w="1129"/>
        <w:gridCol w:w="5490"/>
      </w:tblGrid>
      <w:tr w:rsidR="003A0751" w14:paraId="3ACB9CD8" w14:textId="77777777" w:rsidTr="00FA0AC6">
        <w:tc>
          <w:tcPr>
            <w:tcW w:w="1129" w:type="dxa"/>
          </w:tcPr>
          <w:p w14:paraId="7D686FC8" w14:textId="429287A6" w:rsidR="003A0751" w:rsidRDefault="0083510F" w:rsidP="009C587A">
            <w:pPr>
              <w:jc w:val="right"/>
            </w:pPr>
            <w:r>
              <w:t>Lecture</w:t>
            </w:r>
            <w:r w:rsidR="003A0751">
              <w:t xml:space="preserve"> 1</w:t>
            </w:r>
          </w:p>
        </w:tc>
        <w:tc>
          <w:tcPr>
            <w:tcW w:w="5490" w:type="dxa"/>
          </w:tcPr>
          <w:p w14:paraId="2A95402C" w14:textId="088964EB" w:rsidR="003A0751" w:rsidRPr="00337BB1" w:rsidRDefault="00337BB1" w:rsidP="00337BB1">
            <w:r w:rsidRPr="00337BB1">
              <w:t xml:space="preserve">Valuation </w:t>
            </w:r>
            <w:r>
              <w:t>models for</w:t>
            </w:r>
            <w:r w:rsidRPr="00337BB1">
              <w:t xml:space="preserve"> known cash flows and discount rates</w:t>
            </w:r>
          </w:p>
        </w:tc>
      </w:tr>
      <w:tr w:rsidR="003A0751" w14:paraId="7885D3F2" w14:textId="77777777" w:rsidTr="00FA0AC6">
        <w:tc>
          <w:tcPr>
            <w:tcW w:w="1129" w:type="dxa"/>
          </w:tcPr>
          <w:p w14:paraId="304CE189" w14:textId="77777777" w:rsidR="003A0751" w:rsidRDefault="003A0751" w:rsidP="009C587A">
            <w:pPr>
              <w:jc w:val="right"/>
            </w:pPr>
            <w:r>
              <w:t>2</w:t>
            </w:r>
          </w:p>
        </w:tc>
        <w:tc>
          <w:tcPr>
            <w:tcW w:w="5490" w:type="dxa"/>
            <w:shd w:val="clear" w:color="auto" w:fill="auto"/>
          </w:tcPr>
          <w:p w14:paraId="10752129" w14:textId="1F42B32D" w:rsidR="003A0751" w:rsidRDefault="003A0751" w:rsidP="009C587A">
            <w:r w:rsidRPr="00431ABA">
              <w:t>Real world valuation</w:t>
            </w:r>
            <w:r w:rsidR="00431ABA" w:rsidRPr="00431ABA">
              <w:t xml:space="preserve"> issues</w:t>
            </w:r>
            <w:r w:rsidRPr="00431ABA">
              <w:t>:</w:t>
            </w:r>
            <w:r>
              <w:t xml:space="preserve">  </w:t>
            </w:r>
            <w:r w:rsidR="00431ABA">
              <w:t>Compounding frequency, t</w:t>
            </w:r>
            <w:r>
              <w:t>axes, currency, inflation, default</w:t>
            </w:r>
          </w:p>
        </w:tc>
      </w:tr>
      <w:tr w:rsidR="003A0751" w14:paraId="52228A79" w14:textId="77777777" w:rsidTr="00FA0AC6">
        <w:tc>
          <w:tcPr>
            <w:tcW w:w="1129" w:type="dxa"/>
          </w:tcPr>
          <w:p w14:paraId="4120D1A4" w14:textId="77777777" w:rsidR="003A0751" w:rsidRDefault="003A0751" w:rsidP="009C587A">
            <w:pPr>
              <w:jc w:val="right"/>
            </w:pPr>
            <w:r>
              <w:t>3</w:t>
            </w:r>
          </w:p>
        </w:tc>
        <w:tc>
          <w:tcPr>
            <w:tcW w:w="5490" w:type="dxa"/>
            <w:shd w:val="clear" w:color="auto" w:fill="auto"/>
          </w:tcPr>
          <w:p w14:paraId="23175B9E" w14:textId="10EEB750" w:rsidR="003A0751" w:rsidRPr="00431ABA" w:rsidRDefault="00431ABA" w:rsidP="00FA0AC6">
            <w:r w:rsidRPr="00431ABA">
              <w:t>Information imp</w:t>
            </w:r>
            <w:r>
              <w:t>l</w:t>
            </w:r>
            <w:r w:rsidRPr="00431ABA">
              <w:t>ied by bond prices</w:t>
            </w:r>
          </w:p>
        </w:tc>
      </w:tr>
      <w:tr w:rsidR="003A0751" w14:paraId="7CAEE43F" w14:textId="77777777" w:rsidTr="00FA0AC6">
        <w:tc>
          <w:tcPr>
            <w:tcW w:w="1129" w:type="dxa"/>
          </w:tcPr>
          <w:p w14:paraId="267F6C92" w14:textId="22A61F5D" w:rsidR="003A0751" w:rsidRDefault="00431ABA" w:rsidP="009C587A">
            <w:pPr>
              <w:jc w:val="right"/>
            </w:pPr>
            <w:r>
              <w:t>4</w:t>
            </w:r>
          </w:p>
        </w:tc>
        <w:tc>
          <w:tcPr>
            <w:tcW w:w="5490" w:type="dxa"/>
            <w:shd w:val="clear" w:color="auto" w:fill="auto"/>
          </w:tcPr>
          <w:p w14:paraId="0174E62C" w14:textId="5B9445FE" w:rsidR="003A0751" w:rsidRPr="00431ABA" w:rsidRDefault="003A0751" w:rsidP="00431ABA">
            <w:r w:rsidRPr="00431ABA">
              <w:t>Portfolio Theory &amp; CAPM/APT benchmarks</w:t>
            </w:r>
          </w:p>
        </w:tc>
      </w:tr>
      <w:tr w:rsidR="00431ABA" w14:paraId="77A25588" w14:textId="77777777" w:rsidTr="00FA0AC6">
        <w:tc>
          <w:tcPr>
            <w:tcW w:w="1129" w:type="dxa"/>
          </w:tcPr>
          <w:p w14:paraId="590556CE" w14:textId="624DFABC" w:rsidR="00431ABA" w:rsidRDefault="00431ABA" w:rsidP="009C587A">
            <w:pPr>
              <w:jc w:val="right"/>
            </w:pPr>
            <w:r>
              <w:t>5</w:t>
            </w:r>
          </w:p>
        </w:tc>
        <w:tc>
          <w:tcPr>
            <w:tcW w:w="5490" w:type="dxa"/>
            <w:shd w:val="clear" w:color="auto" w:fill="auto"/>
          </w:tcPr>
          <w:p w14:paraId="3CDFFAB9" w14:textId="13AC87B0" w:rsidR="00431ABA" w:rsidRPr="00671E6C" w:rsidRDefault="00431ABA" w:rsidP="00431ABA">
            <w:pPr>
              <w:rPr>
                <w:b/>
              </w:rPr>
            </w:pPr>
            <w:r w:rsidRPr="00431ABA">
              <w:t>Simulation and benchmark valuation o</w:t>
            </w:r>
            <w:r>
              <w:t xml:space="preserve">f risky cash flows </w:t>
            </w:r>
          </w:p>
        </w:tc>
      </w:tr>
      <w:tr w:rsidR="00431ABA" w14:paraId="00657431" w14:textId="77777777" w:rsidTr="00FA0AC6">
        <w:tc>
          <w:tcPr>
            <w:tcW w:w="1129" w:type="dxa"/>
          </w:tcPr>
          <w:p w14:paraId="5C7742EA" w14:textId="77777777" w:rsidR="00431ABA" w:rsidRDefault="00431ABA" w:rsidP="009C587A">
            <w:pPr>
              <w:jc w:val="right"/>
            </w:pPr>
            <w:r>
              <w:t>6</w:t>
            </w:r>
          </w:p>
        </w:tc>
        <w:tc>
          <w:tcPr>
            <w:tcW w:w="5490" w:type="dxa"/>
            <w:shd w:val="clear" w:color="auto" w:fill="auto"/>
          </w:tcPr>
          <w:p w14:paraId="664F0451" w14:textId="279521E9" w:rsidR="00431ABA" w:rsidRPr="00431ABA" w:rsidRDefault="00431ABA" w:rsidP="009C587A">
            <w:r w:rsidRPr="00431ABA">
              <w:t xml:space="preserve">Forward contracts:  standalone </w:t>
            </w:r>
            <w:r>
              <w:t>and benchmark valuation</w:t>
            </w:r>
            <w:r w:rsidR="009C587A">
              <w:t>s</w:t>
            </w:r>
          </w:p>
        </w:tc>
      </w:tr>
      <w:tr w:rsidR="00431ABA" w14:paraId="2451D839" w14:textId="77777777" w:rsidTr="00FA0AC6">
        <w:tc>
          <w:tcPr>
            <w:tcW w:w="1129" w:type="dxa"/>
          </w:tcPr>
          <w:p w14:paraId="4F272A55" w14:textId="77777777" w:rsidR="00431ABA" w:rsidRDefault="00431ABA" w:rsidP="009C587A">
            <w:pPr>
              <w:jc w:val="right"/>
            </w:pPr>
            <w:r>
              <w:t>7</w:t>
            </w:r>
          </w:p>
        </w:tc>
        <w:tc>
          <w:tcPr>
            <w:tcW w:w="5490" w:type="dxa"/>
            <w:shd w:val="clear" w:color="auto" w:fill="auto"/>
          </w:tcPr>
          <w:p w14:paraId="2C8FD101" w14:textId="35FE756F" w:rsidR="00431ABA" w:rsidRPr="00431ABA" w:rsidRDefault="00431ABA" w:rsidP="00431ABA">
            <w:r w:rsidRPr="00431ABA">
              <w:t>Option valuation</w:t>
            </w:r>
          </w:p>
        </w:tc>
      </w:tr>
      <w:tr w:rsidR="00431ABA" w14:paraId="637BC4EA" w14:textId="77777777" w:rsidTr="00FA0AC6">
        <w:tc>
          <w:tcPr>
            <w:tcW w:w="1129" w:type="dxa"/>
          </w:tcPr>
          <w:p w14:paraId="72E0D9C5" w14:textId="77777777" w:rsidR="00431ABA" w:rsidRDefault="00431ABA" w:rsidP="009C587A">
            <w:pPr>
              <w:jc w:val="right"/>
            </w:pPr>
            <w:r>
              <w:t>8</w:t>
            </w:r>
          </w:p>
        </w:tc>
        <w:tc>
          <w:tcPr>
            <w:tcW w:w="5490" w:type="dxa"/>
            <w:shd w:val="clear" w:color="auto" w:fill="auto"/>
          </w:tcPr>
          <w:p w14:paraId="370F5D51" w14:textId="77777777" w:rsidR="00431ABA" w:rsidRPr="00431ABA" w:rsidRDefault="00431ABA" w:rsidP="00431ABA">
            <w:r w:rsidRPr="00431ABA">
              <w:t>Embedded derivatives: Contracts &amp; securities</w:t>
            </w:r>
          </w:p>
        </w:tc>
      </w:tr>
      <w:tr w:rsidR="00431ABA" w14:paraId="7004118C" w14:textId="77777777" w:rsidTr="00FA0AC6">
        <w:tc>
          <w:tcPr>
            <w:tcW w:w="1129" w:type="dxa"/>
          </w:tcPr>
          <w:p w14:paraId="3457ACF3" w14:textId="7DEC04BA" w:rsidR="00431ABA" w:rsidRDefault="00431ABA" w:rsidP="009C587A">
            <w:pPr>
              <w:jc w:val="right"/>
            </w:pPr>
            <w:r>
              <w:t>9</w:t>
            </w:r>
          </w:p>
        </w:tc>
        <w:tc>
          <w:tcPr>
            <w:tcW w:w="5490" w:type="dxa"/>
            <w:shd w:val="clear" w:color="auto" w:fill="auto"/>
          </w:tcPr>
          <w:p w14:paraId="2292AD03" w14:textId="26490D69" w:rsidR="00431ABA" w:rsidRPr="00671E6C" w:rsidRDefault="00431ABA" w:rsidP="00431ABA">
            <w:pPr>
              <w:rPr>
                <w:b/>
              </w:rPr>
            </w:pPr>
            <w:r w:rsidRPr="00431ABA">
              <w:t>Private valuations</w:t>
            </w:r>
          </w:p>
        </w:tc>
      </w:tr>
      <w:tr w:rsidR="00431ABA" w14:paraId="0EF0E2A5" w14:textId="77777777" w:rsidTr="00FA0AC6">
        <w:tc>
          <w:tcPr>
            <w:tcW w:w="1129" w:type="dxa"/>
          </w:tcPr>
          <w:p w14:paraId="184E81C6" w14:textId="77777777" w:rsidR="00431ABA" w:rsidRDefault="00431ABA" w:rsidP="009C587A">
            <w:pPr>
              <w:jc w:val="right"/>
            </w:pPr>
          </w:p>
        </w:tc>
        <w:tc>
          <w:tcPr>
            <w:tcW w:w="5490" w:type="dxa"/>
            <w:shd w:val="clear" w:color="auto" w:fill="auto"/>
          </w:tcPr>
          <w:p w14:paraId="16D54626" w14:textId="519C5508" w:rsidR="00431ABA" w:rsidRPr="009C587A" w:rsidRDefault="009C587A" w:rsidP="00431ABA">
            <w:r>
              <w:t>Textbook</w:t>
            </w:r>
            <w:r w:rsidR="00431ABA" w:rsidRPr="009C587A">
              <w:t xml:space="preserve"> Exam</w:t>
            </w:r>
          </w:p>
        </w:tc>
      </w:tr>
      <w:tr w:rsidR="00431ABA" w14:paraId="7DDF221A" w14:textId="77777777" w:rsidTr="00FA0AC6">
        <w:tc>
          <w:tcPr>
            <w:tcW w:w="1129" w:type="dxa"/>
          </w:tcPr>
          <w:p w14:paraId="78576392" w14:textId="378CF8C8" w:rsidR="00431ABA" w:rsidRDefault="009C587A" w:rsidP="009C587A">
            <w:pPr>
              <w:jc w:val="right"/>
            </w:pPr>
            <w:r>
              <w:t>10</w:t>
            </w:r>
          </w:p>
        </w:tc>
        <w:tc>
          <w:tcPr>
            <w:tcW w:w="5490" w:type="dxa"/>
          </w:tcPr>
          <w:p w14:paraId="4B93BDA4" w14:textId="77777777" w:rsidR="00431ABA" w:rsidRPr="009C587A" w:rsidRDefault="00431ABA" w:rsidP="00431ABA">
            <w:r w:rsidRPr="009C587A">
              <w:t>Corporate financial statement modeling</w:t>
            </w:r>
          </w:p>
        </w:tc>
      </w:tr>
      <w:tr w:rsidR="00431ABA" w14:paraId="15C3E324" w14:textId="77777777" w:rsidTr="00FA0AC6">
        <w:tc>
          <w:tcPr>
            <w:tcW w:w="1129" w:type="dxa"/>
          </w:tcPr>
          <w:p w14:paraId="742C445E" w14:textId="0EA3902C" w:rsidR="00431ABA" w:rsidRDefault="009C587A" w:rsidP="009C587A">
            <w:pPr>
              <w:jc w:val="right"/>
            </w:pPr>
            <w:r>
              <w:t>11</w:t>
            </w:r>
          </w:p>
        </w:tc>
        <w:tc>
          <w:tcPr>
            <w:tcW w:w="5490" w:type="dxa"/>
          </w:tcPr>
          <w:p w14:paraId="6147ACFA" w14:textId="6D0507D9" w:rsidR="00431ABA" w:rsidRPr="009C587A" w:rsidRDefault="009C587A" w:rsidP="00431ABA">
            <w:r w:rsidRPr="009C587A">
              <w:t xml:space="preserve">CASE: </w:t>
            </w:r>
            <w:r w:rsidR="00431ABA" w:rsidRPr="009C587A">
              <w:t>Corporate capital budgeting decisions including real options</w:t>
            </w:r>
          </w:p>
        </w:tc>
      </w:tr>
      <w:tr w:rsidR="00431ABA" w14:paraId="339D3FBB" w14:textId="77777777" w:rsidTr="00FA0AC6">
        <w:tc>
          <w:tcPr>
            <w:tcW w:w="1129" w:type="dxa"/>
          </w:tcPr>
          <w:p w14:paraId="16ED9A45" w14:textId="7FD63A53" w:rsidR="00431ABA" w:rsidRDefault="009C587A" w:rsidP="009C587A">
            <w:pPr>
              <w:jc w:val="right"/>
            </w:pPr>
            <w:r>
              <w:t>12</w:t>
            </w:r>
          </w:p>
        </w:tc>
        <w:tc>
          <w:tcPr>
            <w:tcW w:w="5490" w:type="dxa"/>
          </w:tcPr>
          <w:p w14:paraId="344419C4" w14:textId="5AEF3AA7" w:rsidR="00431ABA" w:rsidRPr="009C587A" w:rsidRDefault="009C587A" w:rsidP="00431ABA">
            <w:r w:rsidRPr="009C587A">
              <w:t xml:space="preserve">CASE: </w:t>
            </w:r>
            <w:r w:rsidR="00431ABA" w:rsidRPr="009C587A">
              <w:t>Corporate risk management decisions</w:t>
            </w:r>
          </w:p>
        </w:tc>
      </w:tr>
      <w:tr w:rsidR="00431ABA" w14:paraId="1E598317" w14:textId="77777777" w:rsidTr="00FA0AC6">
        <w:tc>
          <w:tcPr>
            <w:tcW w:w="1129" w:type="dxa"/>
          </w:tcPr>
          <w:p w14:paraId="32A2C65F" w14:textId="0A1FD63D" w:rsidR="00431ABA" w:rsidRDefault="009C587A" w:rsidP="009C587A">
            <w:pPr>
              <w:jc w:val="right"/>
            </w:pPr>
            <w:r>
              <w:t>13</w:t>
            </w:r>
          </w:p>
        </w:tc>
        <w:tc>
          <w:tcPr>
            <w:tcW w:w="5490" w:type="dxa"/>
          </w:tcPr>
          <w:p w14:paraId="29A0F165" w14:textId="5FD2A015" w:rsidR="00431ABA" w:rsidRPr="009C587A" w:rsidRDefault="009C587A" w:rsidP="00431ABA">
            <w:r w:rsidRPr="009C587A">
              <w:t xml:space="preserve">CASE: </w:t>
            </w:r>
            <w:r w:rsidR="00431ABA" w:rsidRPr="009C587A">
              <w:t>Corporate financing &amp; capital structure decisions including security selection</w:t>
            </w:r>
          </w:p>
        </w:tc>
      </w:tr>
      <w:tr w:rsidR="00431ABA" w14:paraId="00D439E6" w14:textId="77777777" w:rsidTr="00FA0AC6">
        <w:tc>
          <w:tcPr>
            <w:tcW w:w="1129" w:type="dxa"/>
          </w:tcPr>
          <w:p w14:paraId="6B06C333" w14:textId="7302721D" w:rsidR="00431ABA" w:rsidRDefault="009C587A" w:rsidP="009C587A">
            <w:pPr>
              <w:jc w:val="right"/>
            </w:pPr>
            <w:r>
              <w:t>14</w:t>
            </w:r>
          </w:p>
        </w:tc>
        <w:tc>
          <w:tcPr>
            <w:tcW w:w="5490" w:type="dxa"/>
          </w:tcPr>
          <w:p w14:paraId="7D7B5E0E" w14:textId="461C99F9" w:rsidR="00431ABA" w:rsidRPr="009C587A" w:rsidRDefault="00431ABA" w:rsidP="009C587A">
            <w:r w:rsidRPr="009C587A">
              <w:t>FINAL PROJECT</w:t>
            </w:r>
            <w:r w:rsidR="004C42DB">
              <w:t xml:space="preserve"> (pairs)</w:t>
            </w:r>
          </w:p>
        </w:tc>
      </w:tr>
    </w:tbl>
    <w:p w14:paraId="354433B7" w14:textId="2FA1608E" w:rsidR="001A33EF" w:rsidRDefault="001A33EF" w:rsidP="00EC52DC"/>
    <w:p w14:paraId="5D01F1C3" w14:textId="0513A01A" w:rsidR="001A33EF" w:rsidRDefault="001A33EF">
      <w:bookmarkStart w:id="0" w:name="_GoBack"/>
      <w:bookmarkEnd w:id="0"/>
    </w:p>
    <w:sectPr w:rsidR="001A33EF" w:rsidSect="005A5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6553"/>
    <w:multiLevelType w:val="hybridMultilevel"/>
    <w:tmpl w:val="ED7A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4245F"/>
    <w:multiLevelType w:val="hybridMultilevel"/>
    <w:tmpl w:val="18F6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A59A5"/>
    <w:multiLevelType w:val="hybridMultilevel"/>
    <w:tmpl w:val="B4CED6A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B10"/>
    <w:rsid w:val="00036AC0"/>
    <w:rsid w:val="000D3608"/>
    <w:rsid w:val="000D3AEA"/>
    <w:rsid w:val="000F1EFC"/>
    <w:rsid w:val="001624CC"/>
    <w:rsid w:val="0016409C"/>
    <w:rsid w:val="00181B8A"/>
    <w:rsid w:val="001A33EF"/>
    <w:rsid w:val="001A347A"/>
    <w:rsid w:val="001B21E9"/>
    <w:rsid w:val="001C4BBC"/>
    <w:rsid w:val="0026136C"/>
    <w:rsid w:val="00281F62"/>
    <w:rsid w:val="002F474C"/>
    <w:rsid w:val="00313BB2"/>
    <w:rsid w:val="0033603E"/>
    <w:rsid w:val="00337BB1"/>
    <w:rsid w:val="00367172"/>
    <w:rsid w:val="00381B10"/>
    <w:rsid w:val="0039764F"/>
    <w:rsid w:val="003A0751"/>
    <w:rsid w:val="003A1B00"/>
    <w:rsid w:val="003A3509"/>
    <w:rsid w:val="003B72F3"/>
    <w:rsid w:val="003C0178"/>
    <w:rsid w:val="00406671"/>
    <w:rsid w:val="00431ABA"/>
    <w:rsid w:val="00445605"/>
    <w:rsid w:val="00461824"/>
    <w:rsid w:val="004718F3"/>
    <w:rsid w:val="004C42DB"/>
    <w:rsid w:val="00593C6A"/>
    <w:rsid w:val="005A5331"/>
    <w:rsid w:val="00627316"/>
    <w:rsid w:val="00671E6C"/>
    <w:rsid w:val="006836C5"/>
    <w:rsid w:val="006C77E4"/>
    <w:rsid w:val="006E2DFF"/>
    <w:rsid w:val="006E61B2"/>
    <w:rsid w:val="006F6B76"/>
    <w:rsid w:val="0071663E"/>
    <w:rsid w:val="0076485D"/>
    <w:rsid w:val="007A705A"/>
    <w:rsid w:val="00802937"/>
    <w:rsid w:val="0083510F"/>
    <w:rsid w:val="00847DDE"/>
    <w:rsid w:val="008659DC"/>
    <w:rsid w:val="00877891"/>
    <w:rsid w:val="008A4081"/>
    <w:rsid w:val="00936DC5"/>
    <w:rsid w:val="009B0906"/>
    <w:rsid w:val="009C17B9"/>
    <w:rsid w:val="009C587A"/>
    <w:rsid w:val="009E19AA"/>
    <w:rsid w:val="00A04E31"/>
    <w:rsid w:val="00A07736"/>
    <w:rsid w:val="00A676DC"/>
    <w:rsid w:val="00AA7250"/>
    <w:rsid w:val="00AE3002"/>
    <w:rsid w:val="00B93F0A"/>
    <w:rsid w:val="00BC6846"/>
    <w:rsid w:val="00BF4EC9"/>
    <w:rsid w:val="00C971EC"/>
    <w:rsid w:val="00CC72F0"/>
    <w:rsid w:val="00D005F0"/>
    <w:rsid w:val="00D533C7"/>
    <w:rsid w:val="00DA39AA"/>
    <w:rsid w:val="00DF2A6A"/>
    <w:rsid w:val="00DF4774"/>
    <w:rsid w:val="00E97059"/>
    <w:rsid w:val="00EC1DD5"/>
    <w:rsid w:val="00EC52DC"/>
    <w:rsid w:val="00ED2021"/>
    <w:rsid w:val="00ED5067"/>
    <w:rsid w:val="00F54BB8"/>
    <w:rsid w:val="00F66FAF"/>
    <w:rsid w:val="00FB76DB"/>
    <w:rsid w:val="00FC12B1"/>
    <w:rsid w:val="00FD4CC6"/>
    <w:rsid w:val="00FF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3E015"/>
  <w15:chartTrackingRefBased/>
  <w15:docId w15:val="{ED86D855-789C-4509-B6BA-03040519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1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ize-base">
    <w:name w:val="a-size-base"/>
    <w:basedOn w:val="DefaultParagraphFont"/>
    <w:rsid w:val="00461824"/>
  </w:style>
  <w:style w:type="character" w:customStyle="1" w:styleId="apple-converted-space">
    <w:name w:val="apple-converted-space"/>
    <w:basedOn w:val="DefaultParagraphFont"/>
    <w:rsid w:val="00461824"/>
  </w:style>
  <w:style w:type="paragraph" w:styleId="ListParagraph">
    <w:name w:val="List Paragraph"/>
    <w:basedOn w:val="Normal"/>
    <w:uiPriority w:val="34"/>
    <w:qFormat/>
    <w:rsid w:val="00FD4CC6"/>
    <w:pPr>
      <w:ind w:left="720"/>
      <w:contextualSpacing/>
    </w:pPr>
  </w:style>
  <w:style w:type="character" w:styleId="Hyperlink">
    <w:name w:val="Hyperlink"/>
    <w:basedOn w:val="DefaultParagraphFont"/>
    <w:uiPriority w:val="99"/>
    <w:unhideWhenUsed/>
    <w:rsid w:val="008659DC"/>
    <w:rPr>
      <w:color w:val="0563C1" w:themeColor="hyperlink"/>
      <w:u w:val="single"/>
    </w:rPr>
  </w:style>
  <w:style w:type="character" w:customStyle="1" w:styleId="Mention">
    <w:name w:val="Mention"/>
    <w:basedOn w:val="DefaultParagraphFont"/>
    <w:uiPriority w:val="99"/>
    <w:semiHidden/>
    <w:unhideWhenUsed/>
    <w:rsid w:val="008659DC"/>
    <w:rPr>
      <w:color w:val="2B579A"/>
      <w:shd w:val="clear" w:color="auto" w:fill="E6E6E6"/>
    </w:rPr>
  </w:style>
  <w:style w:type="paragraph" w:styleId="BalloonText">
    <w:name w:val="Balloon Text"/>
    <w:basedOn w:val="Normal"/>
    <w:link w:val="BalloonTextChar"/>
    <w:uiPriority w:val="99"/>
    <w:semiHidden/>
    <w:unhideWhenUsed/>
    <w:rsid w:val="001A33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3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169219">
      <w:bodyDiv w:val="1"/>
      <w:marLeft w:val="0"/>
      <w:marRight w:val="0"/>
      <w:marTop w:val="0"/>
      <w:marBottom w:val="0"/>
      <w:divBdr>
        <w:top w:val="none" w:sz="0" w:space="0" w:color="auto"/>
        <w:left w:val="none" w:sz="0" w:space="0" w:color="auto"/>
        <w:bottom w:val="none" w:sz="0" w:space="0" w:color="auto"/>
        <w:right w:val="none" w:sz="0" w:space="0" w:color="auto"/>
      </w:divBdr>
      <w:divsChild>
        <w:div w:id="1025715089">
          <w:marLeft w:val="0"/>
          <w:marRight w:val="0"/>
          <w:marTop w:val="0"/>
          <w:marBottom w:val="0"/>
          <w:divBdr>
            <w:top w:val="none" w:sz="0" w:space="0" w:color="auto"/>
            <w:left w:val="none" w:sz="0" w:space="0" w:color="auto"/>
            <w:bottom w:val="none" w:sz="0" w:space="0" w:color="auto"/>
            <w:right w:val="none" w:sz="0" w:space="0" w:color="auto"/>
          </w:divBdr>
        </w:div>
        <w:div w:id="1978415507">
          <w:marLeft w:val="0"/>
          <w:marRight w:val="0"/>
          <w:marTop w:val="0"/>
          <w:marBottom w:val="0"/>
          <w:divBdr>
            <w:top w:val="none" w:sz="0" w:space="0" w:color="auto"/>
            <w:left w:val="none" w:sz="0" w:space="0" w:color="auto"/>
            <w:bottom w:val="none" w:sz="0" w:space="0" w:color="auto"/>
            <w:right w:val="none" w:sz="0" w:space="0" w:color="auto"/>
          </w:divBdr>
        </w:div>
      </w:divsChild>
    </w:div>
    <w:div w:id="199788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mailto:david.shimko@ny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david.shimko@gmail.com</dc:creator>
  <cp:keywords/>
  <dc:description/>
  <cp:lastModifiedBy>David Shimko</cp:lastModifiedBy>
  <cp:revision>4</cp:revision>
  <cp:lastPrinted>2018-08-30T15:58:00Z</cp:lastPrinted>
  <dcterms:created xsi:type="dcterms:W3CDTF">2018-08-29T21:25:00Z</dcterms:created>
  <dcterms:modified xsi:type="dcterms:W3CDTF">2018-08-30T16:41:00Z</dcterms:modified>
</cp:coreProperties>
</file>