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0" w:after="80"/>
        <w:jc w:val="center"/>
      </w:pPr>
      <w:r>
        <w:rPr>
          <w:rFonts w:ascii="Arial" w:cs="Arial" w:eastAsia="Arial" w:hAnsi="Arial"/>
          <w:b/>
          <w:bCs/>
          <w:color w:val="1B4F8A"/>
          <w:sz w:val="52"/>
          <w:szCs w:val="52"/>
        </w:rPr>
        <w:t xml:space="preserve">maBible</w:t>
      </w:r>
    </w:p>
    <w:p>
      <w:pPr>
        <w:spacing w:before="0" w:after="40"/>
        <w:jc w:val="center"/>
      </w:pPr>
      <w:r>
        <w:rPr>
          <w:rFonts w:ascii="Arial" w:cs="Arial" w:eastAsia="Arial" w:hAnsi="Arial"/>
          <w:color w:val="444444"/>
          <w:sz w:val="32"/>
          <w:szCs w:val="32"/>
        </w:rPr>
        <w:t xml:space="preserve">Références croisées — Règles éditoriales</w:t>
      </w:r>
    </w:p>
    <w:p>
      <w:pPr>
        <w:spacing w:before="0" w:after="160"/>
        <w:jc w:val="center"/>
      </w:pPr>
      <w:r>
        <w:rPr>
          <w:rFonts w:ascii="Arial" w:cs="Arial" w:eastAsia="Arial" w:hAnsi="Arial"/>
          <w:i/>
          <w:iCs/>
          <w:color w:val="888888"/>
          <w:sz w:val="20"/>
          <w:szCs w:val="20"/>
        </w:rPr>
        <w:t xml:space="preserve">Version 3.0 — Mars 2026</w:t>
      </w:r>
    </w:p>
    <w:p>
      <w:pPr>
        <w:pBdr>
          <w:bottom w:val="single" w:color="C9A84C" w:sz="4" w:space="8"/>
        </w:pBdr>
        <w:spacing w:before="0" w:after="320"/>
        <w:jc w:val="center"/>
      </w:pPr>
      <w:r>
        <w:rPr>
          <w:rFonts w:ascii="Arial" w:cs="Arial" w:eastAsia="Arial" w:hAnsi="Arial"/>
          <w:i/>
          <w:iCs/>
          <w:color w:val="C9A84C"/>
          <w:sz w:val="28"/>
          <w:szCs w:val="28"/>
        </w:rPr>
        <w:t xml:space="preserve">« </w:t>
      </w:r>
      <w:r>
        <w:rPr>
          <w:rFonts w:ascii="Arial" w:cs="Arial" w:eastAsia="Arial" w:hAnsi="Arial"/>
          <w:b/>
          <w:bCs/>
          <w:i/>
          <w:iCs/>
          <w:color w:val="C9A84C"/>
          <w:sz w:val="28"/>
          <w:szCs w:val="28"/>
        </w:rPr>
        <w:t xml:space="preserve">La Bible explique la Bible</w:t>
      </w:r>
      <w:r>
        <w:rPr>
          <w:rFonts w:ascii="Arial" w:cs="Arial" w:eastAsia="Arial" w:hAnsi="Arial"/>
          <w:i/>
          <w:iCs/>
          <w:color w:val="C9A84C"/>
          <w:sz w:val="28"/>
          <w:szCs w:val="28"/>
        </w:rPr>
        <w:t xml:space="preserve"> »</w:t>
      </w:r>
    </w:p>
    <w:p>
      <w:pPr>
        <w:pStyle w:val="Heading1"/>
        <w:spacing w:before="360" w:after="160"/>
      </w:pPr>
      <w:r>
        <w:rPr>
          <w:rFonts w:ascii="Arial" w:cs="Arial" w:eastAsia="Arial" w:hAnsi="Arial"/>
          <w:b/>
          <w:bCs/>
          <w:color w:val="1B4F8A"/>
          <w:sz w:val="32"/>
          <w:szCs w:val="32"/>
        </w:rPr>
        <w:t xml:space="preserve">Contexte et approche</w:t>
      </w:r>
    </w:p>
    <w:p>
      <w:pPr>
        <w:spacing w:before="60" w:after="60"/>
      </w:pPr>
      <w:r>
        <w:rPr>
          <w:rFonts w:ascii="Arial" w:cs="Arial" w:eastAsia="Arial" w:hAnsi="Arial"/>
          <w:sz w:val="22"/>
          <w:szCs w:val="22"/>
        </w:rPr>
        <w:t xml:space="preserve">Ce document formalise les règles éditoriales établies lors du travail de définition du système de références croisées pour maBible. Ces règles sont issues d'une session de travail approfondie sur Jean 3:16, verset utilisé comme cas de référence.</w:t>
      </w:r>
    </w:p>
    <w:p>
      <w:pPr>
        <w:spacing w:before="60" w:after="60"/>
      </w:pPr>
      <w:r>
        <w:rPr>
          <w:rFonts w:ascii="Arial" w:cs="Arial" w:eastAsia="Arial" w:hAnsi="Arial"/>
          <w:sz w:val="22"/>
          <w:szCs w:val="22"/>
        </w:rPr>
        <w:t xml:space="preserve">L'approche retenue est </w:t>
      </w:r>
      <w:r>
        <w:rPr>
          <w:rFonts w:ascii="Arial" w:cs="Arial" w:eastAsia="Arial" w:hAnsi="Arial"/>
          <w:b/>
          <w:bCs/>
          <w:color w:val="000000"/>
          <w:sz w:val="22"/>
          <w:szCs w:val="22"/>
        </w:rPr>
        <w:t xml:space="preserve">sémantique et théologique</w:t>
      </w:r>
      <w:r>
        <w:rPr>
          <w:rFonts w:ascii="Arial" w:cs="Arial" w:eastAsia="Arial" w:hAnsi="Arial"/>
          <w:sz w:val="22"/>
          <w:szCs w:val="22"/>
        </w:rPr>
        <w:t xml:space="preserve">, non lexicale. Elle s'oppose à une approche par score de similarité de mots, qui sous-estime les références typologiques et surestime les parallèles purement verbaux.</w:t>
      </w:r>
    </w:p>
    <w:p>
      <w:pPr>
        <w:pBdr>
          <w:bottom w:val="single" w:color="DDDDDD" w:sz="4"/>
        </w:pBdr>
        <w:spacing w:before="200" w:after="200"/>
      </w:pPr>
    </w:p>
    <w:p>
      <w:pPr>
        <w:pStyle w:val="Heading1"/>
        <w:spacing w:before="360" w:after="160"/>
      </w:pPr>
      <w:r>
        <w:rPr>
          <w:rFonts w:ascii="Arial" w:cs="Arial" w:eastAsia="Arial" w:hAnsi="Arial"/>
          <w:b/>
          <w:bCs/>
          <w:color w:val="1B4F8A"/>
          <w:sz w:val="32"/>
          <w:szCs w:val="32"/>
        </w:rPr>
        <w:t xml:space="preserve">Structure des références croisées</w:t>
      </w:r>
    </w:p>
    <w:p>
      <w:pPr>
        <w:spacing w:before="60" w:after="60"/>
      </w:pPr>
      <w:r>
        <w:rPr>
          <w:rFonts w:ascii="Arial" w:cs="Arial" w:eastAsia="Arial" w:hAnsi="Arial"/>
          <w:sz w:val="22"/>
          <w:szCs w:val="22"/>
        </w:rPr>
        <w:t xml:space="preserve">Chaque verset comporte deux niveaux de références :</w:t>
      </w:r>
    </w:p>
    <w:p>
      <w:pPr>
        <w:spacing w:before="120" w:after="60"/>
      </w:pPr>
      <w:r>
        <w:rPr>
          <w:rFonts w:ascii="Arial" w:cs="Arial" w:eastAsia="Arial" w:hAnsi="Arial"/>
          <w:b/>
          <w:bCs/>
          <w:color w:val="C9A84C"/>
          <w:sz w:val="22"/>
          <w:szCs w:val="22"/>
        </w:rPr>
        <w:t xml:space="preserve">Niveau 1 — Éclairage du verset entier</w:t>
      </w:r>
      <w:r>
        <w:rPr>
          <w:rFonts w:ascii="Arial" w:cs="Arial" w:eastAsia="Arial" w:hAnsi="Arial"/>
          <w:i/>
          <w:iCs/>
          <w:color w:val="888888"/>
          <w:sz w:val="20"/>
          <w:szCs w:val="20"/>
        </w:rPr>
        <w:t xml:space="preserve">  (fond doré dans l'interface)</w:t>
      </w:r>
    </w:p>
    <w:p>
      <w:pPr>
        <w:spacing w:before="60" w:after="60"/>
      </w:pPr>
      <w:r>
        <w:rPr>
          <w:rFonts w:ascii="Arial" w:cs="Arial" w:eastAsia="Arial" w:hAnsi="Arial"/>
          <w:sz w:val="22"/>
          <w:szCs w:val="22"/>
        </w:rPr>
        <w:t xml:space="preserve">Références qui éclairent la pensée principale du verset dans sa globalité. Ces références répondent à la question : « Quels passages illuminent ce verset dans son ensemble ? »</w:t>
      </w:r>
    </w:p>
    <w:p>
      <w:pPr>
        <w:spacing w:before="120" w:after="60"/>
      </w:pPr>
      <w:r>
        <w:rPr>
          <w:rFonts w:ascii="Arial" w:cs="Arial" w:eastAsia="Arial" w:hAnsi="Arial"/>
          <w:b/>
          <w:bCs/>
          <w:color w:val="444444"/>
          <w:sz w:val="22"/>
          <w:szCs w:val="22"/>
        </w:rPr>
        <w:t xml:space="preserve">Niveau 2 — Références par fragment sémantique</w:t>
      </w:r>
      <w:r>
        <w:rPr>
          <w:rFonts w:ascii="Arial" w:cs="Arial" w:eastAsia="Arial" w:hAnsi="Arial"/>
          <w:i/>
          <w:iCs/>
          <w:color w:val="888888"/>
          <w:sz w:val="20"/>
          <w:szCs w:val="20"/>
        </w:rPr>
        <w:t xml:space="preserve">  (fragments colorés)</w:t>
      </w:r>
    </w:p>
    <w:p>
      <w:pPr>
        <w:spacing w:before="60" w:after="60"/>
      </w:pPr>
      <w:r>
        <w:rPr>
          <w:rFonts w:ascii="Arial" w:cs="Arial" w:eastAsia="Arial" w:hAnsi="Arial"/>
          <w:sz w:val="22"/>
          <w:szCs w:val="22"/>
        </w:rPr>
        <w:t xml:space="preserve">Le verset est découpé en unités de sens autonomes (fragments). Chaque fragment reçoit ses propres références, qui répondent à la question : « Quels passages éclairent CETTE partie spécifique du verset ? »</w:t>
      </w:r>
    </w:p>
    <w:p>
      <w:pPr>
        <w:spacing w:before="60" w:after="60"/>
      </w:pPr>
      <w:r>
        <w:rPr>
          <w:rFonts w:ascii="Arial" w:cs="Arial" w:eastAsia="Arial" w:hAnsi="Arial"/>
          <w:sz w:val="22"/>
          <w:szCs w:val="22"/>
        </w:rPr>
        <w:t xml:space="preserve">Les fragments sont colorés selon un code visuel : </w:t>
      </w:r>
      <w:r>
        <w:rPr>
          <w:rFonts w:ascii="Arial" w:cs="Arial" w:eastAsia="Arial" w:hAnsi="Arial"/>
          <w:b/>
          <w:bCs/>
          <w:color w:val="534AB7"/>
          <w:sz w:val="22"/>
          <w:szCs w:val="22"/>
        </w:rPr>
        <w:t xml:space="preserve">violet</w:t>
      </w:r>
      <w:r>
        <w:rPr>
          <w:rFonts w:ascii="Arial" w:cs="Arial" w:eastAsia="Arial" w:hAnsi="Arial"/>
          <w:sz w:val="22"/>
          <w:szCs w:val="22"/>
        </w:rPr>
        <w:t xml:space="preserve">, </w:t>
      </w:r>
      <w:r>
        <w:rPr>
          <w:rFonts w:ascii="Arial" w:cs="Arial" w:eastAsia="Arial" w:hAnsi="Arial"/>
          <w:b/>
          <w:bCs/>
          <w:color w:val="0F6E56"/>
          <w:sz w:val="22"/>
          <w:szCs w:val="22"/>
        </w:rPr>
        <w:t xml:space="preserve">vert</w:t>
      </w:r>
      <w:r>
        <w:rPr>
          <w:rFonts w:ascii="Arial" w:cs="Arial" w:eastAsia="Arial" w:hAnsi="Arial"/>
          <w:sz w:val="22"/>
          <w:szCs w:val="22"/>
        </w:rPr>
        <w:t xml:space="preserve">, </w:t>
      </w:r>
      <w:r>
        <w:rPr>
          <w:rFonts w:ascii="Arial" w:cs="Arial" w:eastAsia="Arial" w:hAnsi="Arial"/>
          <w:b/>
          <w:bCs/>
          <w:color w:val="185FA5"/>
          <w:sz w:val="22"/>
          <w:szCs w:val="22"/>
        </w:rPr>
        <w:t xml:space="preserve">bleu</w:t>
      </w:r>
      <w:r>
        <w:rPr>
          <w:rFonts w:ascii="Arial" w:cs="Arial" w:eastAsia="Arial" w:hAnsi="Arial"/>
          <w:sz w:val="22"/>
          <w:szCs w:val="22"/>
        </w:rPr>
        <w:t xml:space="preserve">, </w:t>
      </w:r>
      <w:r>
        <w:rPr>
          <w:rFonts w:ascii="Arial" w:cs="Arial" w:eastAsia="Arial" w:hAnsi="Arial"/>
          <w:b/>
          <w:bCs/>
          <w:color w:val="854F0B"/>
          <w:sz w:val="22"/>
          <w:szCs w:val="22"/>
        </w:rPr>
        <w:t xml:space="preserve">ambre</w:t>
      </w:r>
      <w:r>
        <w:rPr>
          <w:rFonts w:ascii="Arial" w:cs="Arial" w:eastAsia="Arial" w:hAnsi="Arial"/>
          <w:sz w:val="22"/>
          <w:szCs w:val="22"/>
        </w:rPr>
        <w:t xml:space="preserve">.</w:t>
      </w:r>
    </w:p>
    <w:p>
      <w:pPr>
        <w:pBdr>
          <w:bottom w:val="single" w:color="DDDDDD" w:sz="4"/>
        </w:pBdr>
        <w:spacing w:before="200" w:after="200"/>
      </w:pPr>
    </w:p>
    <w:p>
      <w:pPr>
        <w:pStyle w:val="Heading1"/>
        <w:spacing w:before="360" w:after="160"/>
      </w:pPr>
      <w:r>
        <w:rPr>
          <w:rFonts w:ascii="Arial" w:cs="Arial" w:eastAsia="Arial" w:hAnsi="Arial"/>
          <w:b/>
          <w:bCs/>
          <w:color w:val="1B4F8A"/>
          <w:sz w:val="32"/>
          <w:szCs w:val="32"/>
        </w:rPr>
        <w:t xml:space="preserve">Règles éditoriales</w:t>
      </w:r>
    </w:p>
    <w:p>
      <w:pPr>
        <w:pStyle w:val="Heading2"/>
        <w:spacing w:before="280" w:after="120"/>
      </w:pPr>
      <w:r>
        <w:rPr>
          <w:rFonts w:ascii="Arial" w:cs="Arial" w:eastAsia="Arial" w:hAnsi="Arial"/>
          <w:b/>
          <w:bCs/>
          <w:color w:val="333333"/>
          <w:sz w:val="26"/>
          <w:szCs w:val="26"/>
        </w:rPr>
        <w:t xml:space="preserve">1. Version de référence</w:t>
      </w:r>
    </w:p>
    <w:p>
      <w:pPr>
        <w:pStyle w:val="ListParagraph"/>
        <w:numPr>
          <w:ilvl w:val="0"/>
          <w:numId w:val="2"/>
        </w:numPr>
        <w:spacing w:before="100" w:after="60"/>
      </w:pPr>
      <w:r>
        <w:rPr>
          <w:rFonts w:ascii="Arial" w:cs="Arial" w:eastAsia="Arial" w:hAnsi="Arial"/>
          <w:b/>
          <w:bCs/>
          <w:sz w:val="22"/>
          <w:szCs w:val="22"/>
        </w:rPr>
        <w:t xml:space="preserve">S21 par défaut</w:t>
      </w:r>
      <w:r>
        <w:rPr>
          <w:rFonts w:ascii="Arial" w:cs="Arial" w:eastAsia="Arial" w:hAnsi="Arial"/>
          <w:color w:val="555555"/>
          <w:sz w:val="22"/>
          <w:szCs w:val="22"/>
        </w:rPr>
        <w:t xml:space="preserve"> — Toutes les références sont affichées dans la traduction Segond 21.</w:t>
      </w:r>
    </w:p>
    <w:p>
      <w:pPr>
        <w:pStyle w:val="ListParagraph"/>
        <w:numPr>
          <w:ilvl w:val="0"/>
          <w:numId w:val="2"/>
        </w:numPr>
        <w:spacing w:before="100" w:after="60"/>
      </w:pPr>
      <w:r>
        <w:rPr>
          <w:rFonts w:ascii="Arial" w:cs="Arial" w:eastAsia="Arial" w:hAnsi="Arial"/>
          <w:b/>
          <w:bCs/>
          <w:sz w:val="22"/>
          <w:szCs w:val="22"/>
        </w:rPr>
        <w:t xml:space="preserve">Grec en arbitre</w:t>
      </w:r>
      <w:r>
        <w:rPr>
          <w:rFonts w:ascii="Arial" w:cs="Arial" w:eastAsia="Arial" w:hAnsi="Arial"/>
          <w:color w:val="555555"/>
          <w:sz w:val="22"/>
          <w:szCs w:val="22"/>
        </w:rPr>
        <w:t xml:space="preserve"> — En cas de doute sur le sens, le retour au texte grec (NT) ou hébreu (AT) est l'arbitre final.</w:t>
      </w:r>
    </w:p>
    <w:p>
      <w:pPr>
        <w:spacing w:before="60" w:after="60"/>
      </w:pPr>
      <w:r>
        <w:rPr>
          <w:rFonts w:ascii="Arial" w:cs="Arial" w:eastAsia="Arial" w:hAnsi="Arial"/>
          <w:i/>
          <w:iCs/>
          <w:color w:val="444444"/>
          <w:sz w:val="22"/>
          <w:szCs w:val="22"/>
        </w:rPr>
        <w:t xml:space="preserve">Exemple : </w:t>
      </w:r>
      <w:r>
        <w:rPr>
          <w:rFonts w:ascii="Arial" w:cs="Arial" w:eastAsia="Arial" w:hAnsi="Arial"/>
          <w:sz w:val="22"/>
          <w:szCs w:val="22"/>
        </w:rPr>
        <w:t xml:space="preserve">Romains 1:16 — la S21 dit « tout homme qui croit » là où d'autres versions disent « quiconque croit ». Le grec </w:t>
      </w:r>
      <w:r>
        <w:rPr>
          <w:rFonts w:ascii="Arial" w:cs="Arial" w:eastAsia="Arial" w:hAnsi="Arial"/>
          <w:i/>
          <w:iCs/>
          <w:color w:val="444444"/>
          <w:sz w:val="22"/>
          <w:szCs w:val="22"/>
        </w:rPr>
        <w:t xml:space="preserve">παντὶ τῷ πιστεύοντι</w:t>
      </w:r>
      <w:r>
        <w:rPr>
          <w:rFonts w:ascii="Arial" w:cs="Arial" w:eastAsia="Arial" w:hAnsi="Arial"/>
          <w:sz w:val="22"/>
          <w:szCs w:val="22"/>
        </w:rPr>
        <w:t xml:space="preserve"> confirme le sens universel voulu.</w:t>
      </w:r>
    </w:p>
    <w:p>
      <w:pPr>
        <w:pStyle w:val="Heading2"/>
        <w:spacing w:before="280" w:after="120"/>
      </w:pPr>
      <w:r>
        <w:rPr>
          <w:rFonts w:ascii="Arial" w:cs="Arial" w:eastAsia="Arial" w:hAnsi="Arial"/>
          <w:b/>
          <w:bCs/>
          <w:color w:val="333333"/>
          <w:sz w:val="26"/>
          <w:szCs w:val="26"/>
        </w:rPr>
        <w:t xml:space="preserve">2. Granularité des références</w:t>
      </w:r>
    </w:p>
    <w:p>
      <w:pPr>
        <w:pStyle w:val="ListParagraph"/>
        <w:numPr>
          <w:ilvl w:val="0"/>
          <w:numId w:val="2"/>
        </w:numPr>
        <w:spacing w:before="100" w:after="60"/>
      </w:pPr>
      <w:r>
        <w:rPr>
          <w:rFonts w:ascii="Arial" w:cs="Arial" w:eastAsia="Arial" w:hAnsi="Arial"/>
          <w:b/>
          <w:bCs/>
          <w:sz w:val="22"/>
          <w:szCs w:val="22"/>
        </w:rPr>
        <w:t xml:space="preserve">Jamais un fragment de verset</w:t>
      </w:r>
      <w:r>
        <w:rPr>
          <w:rFonts w:ascii="Arial" w:cs="Arial" w:eastAsia="Arial" w:hAnsi="Arial"/>
          <w:color w:val="555555"/>
          <w:sz w:val="22"/>
          <w:szCs w:val="22"/>
        </w:rPr>
        <w:t xml:space="preserve"> — Une référence croisée doit toujours pointer vers au minimum un verset entier.</w:t>
      </w:r>
    </w:p>
    <w:p>
      <w:pPr>
        <w:pStyle w:val="ListParagraph"/>
        <w:numPr>
          <w:ilvl w:val="0"/>
          <w:numId w:val="2"/>
        </w:numPr>
        <w:spacing w:before="100" w:after="60"/>
      </w:pPr>
      <w:r>
        <w:rPr>
          <w:rFonts w:ascii="Arial" w:cs="Arial" w:eastAsia="Arial" w:hAnsi="Arial"/>
          <w:b/>
          <w:bCs/>
          <w:sz w:val="22"/>
          <w:szCs w:val="22"/>
        </w:rPr>
        <w:t xml:space="preserve">Blocs de versets autorisés</w:t>
      </w:r>
      <w:r>
        <w:rPr>
          <w:rFonts w:ascii="Arial" w:cs="Arial" w:eastAsia="Arial" w:hAnsi="Arial"/>
          <w:color w:val="555555"/>
          <w:sz w:val="22"/>
          <w:szCs w:val="22"/>
        </w:rPr>
        <w:t xml:space="preserve"> — Plusieurs versets consécutifs peuvent être cités ensemble s'ils forment une unité de sens indissociable.</w:t>
      </w:r>
    </w:p>
    <w:p>
      <w:pPr>
        <w:spacing w:before="60" w:after="60"/>
      </w:pPr>
      <w:r>
        <w:rPr>
          <w:rFonts w:ascii="Arial" w:cs="Arial" w:eastAsia="Arial" w:hAnsi="Arial"/>
          <w:i/>
          <w:iCs/>
          <w:color w:val="444444"/>
          <w:sz w:val="22"/>
          <w:szCs w:val="22"/>
        </w:rPr>
        <w:t xml:space="preserve">Exemples valides : </w:t>
      </w:r>
      <w:r>
        <w:rPr>
          <w:rFonts w:ascii="Arial" w:cs="Arial" w:eastAsia="Arial" w:hAnsi="Arial"/>
          <w:sz w:val="22"/>
          <w:szCs w:val="22"/>
        </w:rPr>
        <w:t xml:space="preserve">1 Jean 4:9–10, Jean 11:25–26, Galates 4:4–5.</w:t>
      </w:r>
    </w:p>
    <w:p>
      <w:pPr>
        <w:spacing w:before="60" w:after="60"/>
      </w:pPr>
      <w:r>
        <w:rPr>
          <w:rFonts w:ascii="Arial" w:cs="Arial" w:eastAsia="Arial" w:hAnsi="Arial"/>
          <w:i/>
          <w:iCs/>
          <w:color w:val="444444"/>
          <w:sz w:val="22"/>
          <w:szCs w:val="22"/>
        </w:rPr>
        <w:t xml:space="preserve">Exemple invalide : </w:t>
      </w:r>
      <w:r>
        <w:rPr>
          <w:rFonts w:ascii="Arial" w:cs="Arial" w:eastAsia="Arial" w:hAnsi="Arial"/>
          <w:sz w:val="22"/>
          <w:szCs w:val="22"/>
        </w:rPr>
        <w:t xml:space="preserve">citer uniquement la deuxième partie de Romains 6:23.</w:t>
      </w:r>
    </w:p>
    <w:p>
      <w:pPr>
        <w:pStyle w:val="Heading2"/>
        <w:spacing w:before="280" w:after="120"/>
      </w:pPr>
      <w:r>
        <w:rPr>
          <w:rFonts w:ascii="Arial" w:cs="Arial" w:eastAsia="Arial" w:hAnsi="Arial"/>
          <w:b/>
          <w:bCs/>
          <w:color w:val="333333"/>
          <w:sz w:val="26"/>
          <w:szCs w:val="26"/>
        </w:rPr>
        <w:t xml:space="preserve">3. Quantités</w:t>
      </w:r>
    </w:p>
    <w:p>
      <w:pPr>
        <w:pStyle w:val="ListParagraph"/>
        <w:numPr>
          <w:ilvl w:val="0"/>
          <w:numId w:val="2"/>
        </w:numPr>
        <w:spacing w:before="100" w:after="60"/>
      </w:pPr>
      <w:r>
        <w:rPr>
          <w:rFonts w:ascii="Arial" w:cs="Arial" w:eastAsia="Arial" w:hAnsi="Arial"/>
          <w:b/>
          <w:bCs/>
          <w:sz w:val="22"/>
          <w:szCs w:val="22"/>
        </w:rPr>
        <w:t xml:space="preserve">Aucun minimum ni maximum</w:t>
      </w:r>
      <w:r>
        <w:rPr>
          <w:rFonts w:ascii="Arial" w:cs="Arial" w:eastAsia="Arial" w:hAnsi="Arial"/>
          <w:color w:val="555555"/>
          <w:sz w:val="22"/>
          <w:szCs w:val="22"/>
        </w:rPr>
        <w:t xml:space="preserve"> — Le nombre de références — au Niveau 1 comme au Niveau 2 — est déterminé uniquement par la densité théologique du verset ou du fragment.</w:t>
      </w:r>
    </w:p>
    <w:p>
      <w:pPr>
        <w:spacing w:before="60" w:after="60"/>
      </w:pPr>
      <w:r>
        <w:rPr>
          <w:rFonts w:ascii="Arial" w:cs="Arial" w:eastAsia="Arial" w:hAnsi="Arial"/>
          <w:sz w:val="22"/>
          <w:szCs w:val="22"/>
        </w:rPr>
        <w:t xml:space="preserve">Un verset théologiquement central peut justifier 10 références. Un verset narratif peut n'en avoir qu'une seule. La qualité prime sur la quantité.</w:t>
      </w:r>
    </w:p>
    <w:p>
      <w:pPr>
        <w:spacing w:before="60" w:after="60"/>
      </w:pPr>
      <w:r>
        <w:rPr>
          <w:rFonts w:ascii="Arial" w:cs="Arial" w:eastAsia="Arial" w:hAnsi="Arial"/>
          <w:b/>
          <w:bCs/>
          <w:color w:val="000000"/>
          <w:sz w:val="22"/>
          <w:szCs w:val="22"/>
        </w:rPr>
        <w:t xml:space="preserve">Principe fondamental : </w:t>
      </w:r>
      <w:r>
        <w:rPr>
          <w:rFonts w:ascii="Arial" w:cs="Arial" w:eastAsia="Arial" w:hAnsi="Arial"/>
          <w:sz w:val="22"/>
          <w:szCs w:val="22"/>
        </w:rPr>
        <w:t xml:space="preserve">il vaut mieux 5 ou 6 références parfaites que 8 références dont certaines ont été ajoutées pour compenser ce qu'on a descendu d'un niveau. Ne jamais chercher à remplacer un verset retiré par un verset de moindre qualité.</w:t>
      </w:r>
    </w:p>
    <w:p>
      <w:pPr>
        <w:pStyle w:val="Heading2"/>
        <w:spacing w:before="280" w:after="120"/>
      </w:pPr>
      <w:r>
        <w:rPr>
          <w:rFonts w:ascii="Arial" w:cs="Arial" w:eastAsia="Arial" w:hAnsi="Arial"/>
          <w:b/>
          <w:bCs/>
          <w:color w:val="333333"/>
          <w:sz w:val="26"/>
          <w:szCs w:val="26"/>
        </w:rPr>
        <w:t xml:space="preserve">4. Test d'inclusion</w:t>
      </w:r>
    </w:p>
    <w:p>
      <w:pPr>
        <w:pStyle w:val="ListParagraph"/>
        <w:numPr>
          <w:ilvl w:val="0"/>
          <w:numId w:val="2"/>
        </w:numPr>
        <w:spacing w:before="100" w:after="60"/>
      </w:pPr>
      <w:r>
        <w:rPr>
          <w:rFonts w:ascii="Arial" w:cs="Arial" w:eastAsia="Arial" w:hAnsi="Arial"/>
          <w:b/>
          <w:bCs/>
          <w:sz w:val="22"/>
          <w:szCs w:val="22"/>
        </w:rPr>
        <w:t xml:space="preserve">Test strict au Niveau 2</w:t>
      </w:r>
      <w:r>
        <w:rPr>
          <w:rFonts w:ascii="Arial" w:cs="Arial" w:eastAsia="Arial" w:hAnsi="Arial"/>
          <w:color w:val="555555"/>
          <w:sz w:val="22"/>
          <w:szCs w:val="22"/>
        </w:rPr>
        <w:t xml:space="preserve"> — Une référence du Niveau 2 doit éclairer CE fragment spécifique, pas le verset en général.</w:t>
      </w:r>
    </w:p>
    <w:p>
      <w:pPr>
        <w:spacing w:before="60" w:after="60"/>
      </w:pPr>
      <w:r>
        <w:rPr>
          <w:rFonts w:ascii="Arial" w:cs="Arial" w:eastAsia="Arial" w:hAnsi="Arial"/>
          <w:b/>
          <w:bCs/>
          <w:color w:val="000000"/>
          <w:sz w:val="22"/>
          <w:szCs w:val="22"/>
        </w:rPr>
        <w:t xml:space="preserve">Trois cas distincts : </w:t>
      </w:r>
    </w:p>
    <w:p>
      <w:pPr>
        <w:spacing w:before="60" w:after="60"/>
      </w:pPr>
      <w:r>
        <w:rPr>
          <w:rFonts w:ascii="Arial" w:cs="Arial" w:eastAsia="Arial" w:hAnsi="Arial"/>
          <w:i/>
          <w:iCs/>
          <w:color w:val="444444"/>
          <w:sz w:val="22"/>
          <w:szCs w:val="22"/>
        </w:rPr>
        <w:t xml:space="preserve">Éclaire </w:t>
      </w:r>
      <w:r>
        <w:rPr>
          <w:rFonts w:ascii="Arial" w:cs="Arial" w:eastAsia="Arial" w:hAnsi="Arial"/>
          <w:sz w:val="22"/>
          <w:szCs w:val="22"/>
        </w:rPr>
        <w:t xml:space="preserve">→ la référence est retenue à ce niveau ou fragment.</w:t>
      </w:r>
    </w:p>
    <w:p>
      <w:pPr>
        <w:spacing w:before="60" w:after="60"/>
      </w:pPr>
      <w:r>
        <w:rPr>
          <w:rFonts w:ascii="Arial" w:cs="Arial" w:eastAsia="Arial" w:hAnsi="Arial"/>
          <w:i/>
          <w:iCs/>
          <w:color w:val="444444"/>
          <w:sz w:val="22"/>
          <w:szCs w:val="22"/>
        </w:rPr>
        <w:t xml:space="preserve">Complète </w:t>
      </w:r>
      <w:r>
        <w:rPr>
          <w:rFonts w:ascii="Arial" w:cs="Arial" w:eastAsia="Arial" w:hAnsi="Arial"/>
          <w:sz w:val="22"/>
          <w:szCs w:val="22"/>
        </w:rPr>
        <w:t xml:space="preserve">→ la référence appartient ailleurs ou pas du tout.</w:t>
      </w:r>
    </w:p>
    <w:p>
      <w:pPr>
        <w:spacing w:before="60" w:after="60"/>
      </w:pPr>
      <w:r>
        <w:rPr>
          <w:rFonts w:ascii="Arial" w:cs="Arial" w:eastAsia="Arial" w:hAnsi="Arial"/>
          <w:i/>
          <w:iCs/>
          <w:color w:val="444444"/>
          <w:sz w:val="22"/>
          <w:szCs w:val="22"/>
        </w:rPr>
        <w:t xml:space="preserve">Illustre une condition implicite </w:t>
      </w:r>
      <w:r>
        <w:rPr>
          <w:rFonts w:ascii="Arial" w:cs="Arial" w:eastAsia="Arial" w:hAnsi="Arial"/>
          <w:sz w:val="22"/>
          <w:szCs w:val="22"/>
        </w:rPr>
        <w:t xml:space="preserve">→ recevable si elle explicite ce qui est sous-entendu dans le texte. Exemple : Psaume 34:9–10 pour « je ne manquerai de rien » — la condition des brebis est implicite dans le Psaume 23, le Psaume 34 l'explicite sans la contredire.</w:t>
      </w:r>
    </w:p>
    <w:p>
      <w:pPr>
        <w:spacing w:before="60" w:after="60"/>
      </w:pPr>
      <w:r>
        <w:rPr>
          <w:rFonts w:ascii="Arial" w:cs="Arial" w:eastAsia="Arial" w:hAnsi="Arial"/>
          <w:i/>
          <w:iCs/>
          <w:color w:val="444444"/>
          <w:sz w:val="22"/>
          <w:szCs w:val="22"/>
        </w:rPr>
        <w:t xml:space="preserve">Cas concret : </w:t>
      </w:r>
      <w:r>
        <w:rPr>
          <w:rFonts w:ascii="Arial" w:cs="Arial" w:eastAsia="Arial" w:hAnsi="Arial"/>
          <w:sz w:val="22"/>
          <w:szCs w:val="22"/>
        </w:rPr>
        <w:t xml:space="preserve">Jean 17:23 complète le fragment « Dieu a tant aimé le monde » en parlant de l'amour pour les disciples, mais ne l'éclaire pas — le périmètre est différent. Référence retirée.</w:t>
      </w:r>
    </w:p>
    <w:p>
      <w:pPr>
        <w:pStyle w:val="Heading2"/>
        <w:spacing w:before="280" w:after="120"/>
      </w:pPr>
      <w:r>
        <w:rPr>
          <w:rFonts w:ascii="Arial" w:cs="Arial" w:eastAsia="Arial" w:hAnsi="Arial"/>
          <w:b/>
          <w:bCs/>
          <w:color w:val="333333"/>
          <w:sz w:val="26"/>
          <w:szCs w:val="26"/>
        </w:rPr>
        <w:t xml:space="preserve">5. Périmètre thématique du Niveau 1</w:t>
      </w:r>
    </w:p>
    <w:p>
      <w:pPr>
        <w:pStyle w:val="ListParagraph"/>
        <w:numPr>
          <w:ilvl w:val="0"/>
          <w:numId w:val="2"/>
        </w:numPr>
        <w:spacing w:before="100" w:after="60"/>
      </w:pPr>
      <w:r>
        <w:rPr>
          <w:rFonts w:ascii="Arial" w:cs="Arial" w:eastAsia="Arial" w:hAnsi="Arial"/>
          <w:b/>
          <w:bCs/>
          <w:sz w:val="22"/>
          <w:szCs w:val="22"/>
        </w:rPr>
        <w:t xml:space="preserve">Réseau thématique large</w:t>
      </w:r>
      <w:r>
        <w:rPr>
          <w:rFonts w:ascii="Arial" w:cs="Arial" w:eastAsia="Arial" w:hAnsi="Arial"/>
          <w:color w:val="555555"/>
          <w:sz w:val="22"/>
          <w:szCs w:val="22"/>
        </w:rPr>
        <w:t xml:space="preserve"> — Le Niveau 1 ne se limite pas au sens littéral du verset — il couvre le réseau thématique du verset dans son ensemble. Exemple : pour Psaume 23:1, le Niveau 1 couvre la notion de berger au sens large — Dieu, Christ, pasteurs/anciens — pas seulement le mot « berger ».</w:t>
      </w:r>
    </w:p>
    <w:p>
      <w:pPr>
        <w:spacing w:before="60" w:after="60"/>
      </w:pPr>
      <w:r>
        <w:rPr>
          <w:rFonts w:ascii="Arial" w:cs="Arial" w:eastAsia="Arial" w:hAnsi="Arial"/>
          <w:b/>
          <w:bCs/>
          <w:color w:val="000000"/>
          <w:sz w:val="22"/>
          <w:szCs w:val="22"/>
        </w:rPr>
        <w:t xml:space="preserve">Limite : </w:t>
      </w:r>
      <w:r>
        <w:rPr>
          <w:rFonts w:ascii="Arial" w:cs="Arial" w:eastAsia="Arial" w:hAnsi="Arial"/>
          <w:sz w:val="22"/>
          <w:szCs w:val="22"/>
        </w:rPr>
        <w:t xml:space="preserve">chaque référence du Niveau 1 doit éclairer le verset entier, pas seulement l'un de ses fragments. Une référence qui éclaire précisément un fragment appartient au Niveau 2, même si elle traite d'un thème général du verset.</w:t>
      </w:r>
    </w:p>
    <w:p>
      <w:pPr>
        <w:spacing w:before="60" w:after="60"/>
      </w:pPr>
      <w:r>
        <w:rPr>
          <w:rFonts w:ascii="Arial" w:cs="Arial" w:eastAsia="Arial" w:hAnsi="Arial"/>
          <w:i/>
          <w:iCs/>
          <w:color w:val="444444"/>
          <w:sz w:val="22"/>
          <w:szCs w:val="22"/>
        </w:rPr>
        <w:t xml:space="preserve">Exemple : </w:t>
      </w:r>
      <w:r>
        <w:rPr>
          <w:rFonts w:ascii="Arial" w:cs="Arial" w:eastAsia="Arial" w:hAnsi="Arial"/>
          <w:sz w:val="22"/>
          <w:szCs w:val="22"/>
        </w:rPr>
        <w:t xml:space="preserve">Philippiens 4:19 (« Mon Dieu pourvoira à tous vos besoins ») éclaire le fragment « je ne manquerai de rien », pas le verset 1 dans son ensemble — il va au Niveau 2.</w:t>
      </w:r>
    </w:p>
    <w:p>
      <w:pPr>
        <w:pStyle w:val="Heading2"/>
        <w:spacing w:before="280" w:after="120"/>
      </w:pPr>
      <w:r>
        <w:rPr>
          <w:rFonts w:ascii="Arial" w:cs="Arial" w:eastAsia="Arial" w:hAnsi="Arial"/>
          <w:b/>
          <w:bCs/>
          <w:color w:val="333333"/>
          <w:sz w:val="26"/>
          <w:szCs w:val="26"/>
        </w:rPr>
        <w:t xml:space="preserve">6. Doublons entre niveaux</w:t>
      </w:r>
    </w:p>
    <w:p>
      <w:pPr>
        <w:pStyle w:val="ListParagraph"/>
        <w:numPr>
          <w:ilvl w:val="0"/>
          <w:numId w:val="2"/>
        </w:numPr>
        <w:spacing w:before="100" w:after="60"/>
      </w:pPr>
      <w:r>
        <w:rPr>
          <w:rFonts w:ascii="Arial" w:cs="Arial" w:eastAsia="Arial" w:hAnsi="Arial"/>
          <w:b/>
          <w:bCs/>
          <w:sz w:val="22"/>
          <w:szCs w:val="22"/>
        </w:rPr>
        <w:t xml:space="preserve">Doublons autorisés sous condition</w:t>
      </w:r>
      <w:r>
        <w:rPr>
          <w:rFonts w:ascii="Arial" w:cs="Arial" w:eastAsia="Arial" w:hAnsi="Arial"/>
          <w:color w:val="555555"/>
          <w:sz w:val="22"/>
          <w:szCs w:val="22"/>
        </w:rPr>
        <w:t xml:space="preserve"> — Une référence peut apparaître au Niveau 1 ET au Niveau 2 uniquement si elle éclaire réellement les deux, avec un angle différent à chaque niveau.</w:t>
      </w:r>
    </w:p>
    <w:p>
      <w:pPr>
        <w:spacing w:before="60" w:after="60"/>
      </w:pPr>
      <w:r>
        <w:rPr>
          <w:rFonts w:ascii="Arial" w:cs="Arial" w:eastAsia="Arial" w:hAnsi="Arial"/>
          <w:i/>
          <w:iCs/>
          <w:color w:val="444444"/>
          <w:sz w:val="22"/>
          <w:szCs w:val="22"/>
        </w:rPr>
        <w:t xml:space="preserve">Exemple autorisé : </w:t>
      </w:r>
      <w:r>
        <w:rPr>
          <w:rFonts w:ascii="Arial" w:cs="Arial" w:eastAsia="Arial" w:hAnsi="Arial"/>
          <w:sz w:val="22"/>
          <w:szCs w:val="22"/>
        </w:rPr>
        <w:t xml:space="preserve">Jean 6:40 apparaît dans le fragment « quiconque croit » (angle : universalité de la foi) ET dans le fragment « vie éternelle » (angle : résurrection finale). Les deux angles sont distincts et réels.</w:t>
      </w:r>
    </w:p>
    <w:p>
      <w:pPr>
        <w:pStyle w:val="Heading2"/>
        <w:spacing w:before="280" w:after="120"/>
      </w:pPr>
      <w:r>
        <w:rPr>
          <w:rFonts w:ascii="Arial" w:cs="Arial" w:eastAsia="Arial" w:hAnsi="Arial"/>
          <w:b/>
          <w:bCs/>
          <w:color w:val="333333"/>
          <w:sz w:val="26"/>
          <w:szCs w:val="26"/>
        </w:rPr>
        <w:t xml:space="preserve">7. Références typologiques</w:t>
      </w:r>
    </w:p>
    <w:p>
      <w:pPr>
        <w:pStyle w:val="ListParagraph"/>
        <w:numPr>
          <w:ilvl w:val="0"/>
          <w:numId w:val="2"/>
        </w:numPr>
        <w:spacing w:before="100" w:after="60"/>
      </w:pPr>
      <w:r>
        <w:rPr>
          <w:rFonts w:ascii="Arial" w:cs="Arial" w:eastAsia="Arial" w:hAnsi="Arial"/>
          <w:b/>
          <w:bCs/>
          <w:sz w:val="22"/>
          <w:szCs w:val="22"/>
        </w:rPr>
        <w:t xml:space="preserve">Figure humaine → Niveau 1</w:t>
      </w:r>
      <w:r>
        <w:rPr>
          <w:rFonts w:ascii="Arial" w:cs="Arial" w:eastAsia="Arial" w:hAnsi="Arial"/>
          <w:color w:val="555555"/>
          <w:sz w:val="22"/>
          <w:szCs w:val="22"/>
        </w:rPr>
        <w:t xml:space="preserve"> — Une référence typologique dans laquelle c'est une figure humaine qui accomplit l'acte (et non Dieu directement) est placée au Niveau 1, jamais au Niveau 2.</w:t>
      </w:r>
    </w:p>
    <w:p>
      <w:pPr>
        <w:spacing w:before="60" w:after="60"/>
      </w:pPr>
      <w:r>
        <w:rPr>
          <w:rFonts w:ascii="Arial" w:cs="Arial" w:eastAsia="Arial" w:hAnsi="Arial"/>
          <w:i/>
          <w:iCs/>
          <w:color w:val="444444"/>
          <w:sz w:val="22"/>
          <w:szCs w:val="22"/>
        </w:rPr>
        <w:t xml:space="preserve">Exemple : </w:t>
      </w:r>
      <w:r>
        <w:rPr>
          <w:rFonts w:ascii="Arial" w:cs="Arial" w:eastAsia="Arial" w:hAnsi="Arial"/>
          <w:sz w:val="22"/>
          <w:szCs w:val="22"/>
        </w:rPr>
        <w:t xml:space="preserve">Hébreux 11:17 (Abraham offre Isaac) éclaire Jean 3:16 dans son ensemble comme préfiguration, mais ne peut pas être mis en parallèle direct avec le fragment « il a donné son Fils unique » où c'est Dieu qui agit.</w:t>
      </w:r>
    </w:p>
    <w:p>
      <w:pPr>
        <w:pStyle w:val="Heading2"/>
        <w:spacing w:before="280" w:after="120"/>
      </w:pPr>
      <w:r>
        <w:rPr>
          <w:rFonts w:ascii="Arial" w:cs="Arial" w:eastAsia="Arial" w:hAnsi="Arial"/>
          <w:b/>
          <w:bCs/>
          <w:color w:val="333333"/>
          <w:sz w:val="26"/>
          <w:szCs w:val="26"/>
        </w:rPr>
        <w:t xml:space="preserve">8. Figures humaines déléguées</w:t>
      </w:r>
    </w:p>
    <w:p>
      <w:pPr>
        <w:pStyle w:val="ListParagraph"/>
        <w:numPr>
          <w:ilvl w:val="0"/>
          <w:numId w:val="2"/>
        </w:numPr>
        <w:spacing w:before="100" w:after="60"/>
      </w:pPr>
      <w:r>
        <w:rPr>
          <w:rFonts w:ascii="Arial" w:cs="Arial" w:eastAsia="Arial" w:hAnsi="Arial"/>
          <w:b/>
          <w:bCs/>
          <w:sz w:val="22"/>
          <w:szCs w:val="22"/>
        </w:rPr>
        <w:t xml:space="preserve">Lien explicite requis</w:t>
      </w:r>
      <w:r>
        <w:rPr>
          <w:rFonts w:ascii="Arial" w:cs="Arial" w:eastAsia="Arial" w:hAnsi="Arial"/>
          <w:color w:val="555555"/>
          <w:sz w:val="22"/>
          <w:szCs w:val="22"/>
        </w:rPr>
        <w:t xml:space="preserve"> — Une référence à une figure humaine accomplissant un rôle (pasteur, évêque, ancien, berger) n'éclaire un verset sur Dieu que si le texte lui-même établit explicitement le pont avec Dieu ou Christ. On ne fait pas le lien à la place du lecteur.</w:t>
      </w:r>
    </w:p>
    <w:p>
      <w:pPr>
        <w:spacing w:before="60" w:after="60"/>
      </w:pPr>
      <w:r>
        <w:rPr>
          <w:rFonts w:ascii="Arial" w:cs="Arial" w:eastAsia="Arial" w:hAnsi="Arial"/>
          <w:i/>
          <w:iCs/>
          <w:color w:val="444444"/>
          <w:sz w:val="22"/>
          <w:szCs w:val="22"/>
        </w:rPr>
        <w:t xml:space="preserve">Exemple valide : </w:t>
      </w:r>
      <w:r>
        <w:rPr>
          <w:rFonts w:ascii="Arial" w:cs="Arial" w:eastAsia="Arial" w:hAnsi="Arial"/>
          <w:sz w:val="22"/>
          <w:szCs w:val="22"/>
        </w:rPr>
        <w:t xml:space="preserve">1 Pierre 5:2–4 — le texte cite explicitement le « souverain berger » : le lien avec Dieu est dans le texte lui-même.</w:t>
      </w:r>
    </w:p>
    <w:p>
      <w:pPr>
        <w:spacing w:before="60" w:after="60"/>
      </w:pPr>
      <w:r>
        <w:rPr>
          <w:rFonts w:ascii="Arial" w:cs="Arial" w:eastAsia="Arial" w:hAnsi="Arial"/>
          <w:i/>
          <w:iCs/>
          <w:color w:val="444444"/>
          <w:sz w:val="22"/>
          <w:szCs w:val="22"/>
        </w:rPr>
        <w:t xml:space="preserve">Exemple invalide : </w:t>
      </w:r>
      <w:r>
        <w:rPr>
          <w:rFonts w:ascii="Arial" w:cs="Arial" w:eastAsia="Arial" w:hAnsi="Arial"/>
          <w:sz w:val="22"/>
          <w:szCs w:val="22"/>
        </w:rPr>
        <w:t xml:space="preserve">Actes 20:28 — parle de bergers humains prenant soin du troupeau, mais ne nomme pas Dieu comme berger. Le lien est implicite, non recevable sans lien explicatif.</w:t>
      </w:r>
    </w:p>
    <w:p>
      <w:pPr>
        <w:pStyle w:val="Heading2"/>
        <w:spacing w:before="280" w:after="120"/>
      </w:pPr>
      <w:r>
        <w:rPr>
          <w:rFonts w:ascii="Arial" w:cs="Arial" w:eastAsia="Arial" w:hAnsi="Arial"/>
          <w:b/>
          <w:bCs/>
          <w:color w:val="333333"/>
          <w:sz w:val="26"/>
          <w:szCs w:val="26"/>
        </w:rPr>
        <w:t xml:space="preserve">9. Contexte circonstanciel</w:t>
      </w:r>
    </w:p>
    <w:p>
      <w:pPr>
        <w:pStyle w:val="ListParagraph"/>
        <w:numPr>
          <w:ilvl w:val="0"/>
          <w:numId w:val="2"/>
        </w:numPr>
        <w:spacing w:before="100" w:after="60"/>
      </w:pPr>
      <w:r>
        <w:rPr>
          <w:rFonts w:ascii="Arial" w:cs="Arial" w:eastAsia="Arial" w:hAnsi="Arial"/>
          <w:b/>
          <w:bCs/>
          <w:sz w:val="22"/>
          <w:szCs w:val="22"/>
        </w:rPr>
        <w:t xml:space="preserve">Vérité universelle requise</w:t>
      </w:r>
      <w:r>
        <w:rPr>
          <w:rFonts w:ascii="Arial" w:cs="Arial" w:eastAsia="Arial" w:hAnsi="Arial"/>
          <w:color w:val="555555"/>
          <w:sz w:val="22"/>
          <w:szCs w:val="22"/>
        </w:rPr>
        <w:t xml:space="preserve"> — Une référence dont le sens est fortement ancré dans une situation particulière (emprisonnement, maladie, conflit spécifique, adresse à une personne précise) n'éclaire un verset que si sa vérité dépasse ce contexte et parle universellement. Si le sens dépend du contexte narratif pour être compris, la référence est à écarter.</w:t>
      </w:r>
    </w:p>
    <w:p>
      <w:pPr>
        <w:spacing w:before="60" w:after="60"/>
      </w:pPr>
      <w:r>
        <w:rPr>
          <w:rFonts w:ascii="Arial" w:cs="Arial" w:eastAsia="Arial" w:hAnsi="Arial"/>
          <w:i/>
          <w:iCs/>
          <w:color w:val="444444"/>
          <w:sz w:val="22"/>
          <w:szCs w:val="22"/>
        </w:rPr>
        <w:t xml:space="preserve">Exemple invalide : </w:t>
      </w:r>
      <w:r>
        <w:rPr>
          <w:rFonts w:ascii="Arial" w:cs="Arial" w:eastAsia="Arial" w:hAnsi="Arial"/>
          <w:sz w:val="22"/>
          <w:szCs w:val="22"/>
        </w:rPr>
        <w:t xml:space="preserve">2 Timothée 4:18 — Paul parle de sa délivrance personnelle en tant que prisonnier. Le lien avec le Psaume 23:6 n'existe que si on connaît ce contexte particulier.</w:t>
      </w:r>
    </w:p>
    <w:p>
      <w:pPr>
        <w:spacing w:before="60" w:after="60"/>
      </w:pPr>
      <w:r>
        <w:rPr>
          <w:rFonts w:ascii="Arial" w:cs="Arial" w:eastAsia="Arial" w:hAnsi="Arial"/>
          <w:i/>
          <w:iCs/>
          <w:color w:val="444444"/>
          <w:sz w:val="22"/>
          <w:szCs w:val="22"/>
        </w:rPr>
        <w:t xml:space="preserve">Exemple valide : </w:t>
      </w:r>
      <w:r>
        <w:rPr>
          <w:rFonts w:ascii="Arial" w:cs="Arial" w:eastAsia="Arial" w:hAnsi="Arial"/>
          <w:sz w:val="22"/>
          <w:szCs w:val="22"/>
        </w:rPr>
        <w:t xml:space="preserve">Actes 18:9–10 — « Je suis avec toi » — même adressé à Paul dans une situation précise, la promesse de présence divine est universelle et parle d'elle-même sans le contexte.</w:t>
      </w:r>
    </w:p>
    <w:p>
      <w:pPr>
        <w:pBdr>
          <w:bottom w:val="single" w:color="DDDDDD" w:sz="4"/>
        </w:pBdr>
        <w:spacing w:before="200" w:after="200"/>
      </w:pPr>
    </w:p>
    <w:p>
      <w:pPr>
        <w:pStyle w:val="Heading1"/>
        <w:spacing w:before="360" w:after="160"/>
      </w:pPr>
      <w:r>
        <w:rPr>
          <w:rFonts w:ascii="Arial" w:cs="Arial" w:eastAsia="Arial" w:hAnsi="Arial"/>
          <w:b/>
          <w:bCs/>
          <w:color w:val="1B4F8A"/>
          <w:sz w:val="32"/>
          <w:szCs w:val="32"/>
        </w:rPr>
        <w:t xml:space="preserve">Cas concret — Jean 3:16</w:t>
      </w:r>
    </w:p>
    <w:p>
      <w:pPr>
        <w:shd w:fill="F0F4FA" w:val="clear"/>
        <w:spacing w:before="120" w:after="160"/>
      </w:pPr>
      <w:r>
        <w:rPr>
          <w:rFonts w:ascii="Arial" w:cs="Arial" w:eastAsia="Arial" w:hAnsi="Arial"/>
          <w:b/>
          <w:bCs/>
          <w:color w:val="888888"/>
          <w:sz w:val="20"/>
          <w:szCs w:val="20"/>
        </w:rPr>
        <w:t xml:space="preserve">  Jean 3:16 — Segond 21  </w:t>
      </w:r>
      <w:r>
        <w:br/>
      </w:r>
      <w:r>
        <w:rPr>
          <w:sz w:val="22"/>
          <w:szCs w:val="22"/>
        </w:rPr>
        <w:t xml:space="preserve">  </w:t>
      </w:r>
      <w:r>
        <w:rPr>
          <w:rFonts w:ascii="Arial" w:cs="Arial" w:eastAsia="Arial" w:hAnsi="Arial"/>
          <w:i/>
          <w:iCs/>
          <w:color w:val="534AB7"/>
          <w:sz w:val="24"/>
          <w:szCs w:val="24"/>
        </w:rPr>
        <w:t xml:space="preserve">Dieu a tant aimé le monde </w:t>
      </w:r>
      <w:r>
        <w:rPr>
          <w:rFonts w:ascii="Arial" w:cs="Arial" w:eastAsia="Arial" w:hAnsi="Arial"/>
          <w:i/>
          <w:iCs/>
          <w:color w:val="0F6E56"/>
          <w:sz w:val="24"/>
          <w:szCs w:val="24"/>
        </w:rPr>
        <w:t xml:space="preserve">qu'il a donné son Fils unique </w:t>
      </w:r>
      <w:r>
        <w:rPr>
          <w:rFonts w:ascii="Arial" w:cs="Arial" w:eastAsia="Arial" w:hAnsi="Arial"/>
          <w:i/>
          <w:iCs/>
          <w:color w:val="185FA5"/>
          <w:sz w:val="24"/>
          <w:szCs w:val="24"/>
        </w:rPr>
        <w:t xml:space="preserve">afin que quiconque croit en lui </w:t>
      </w:r>
      <w:r>
        <w:rPr>
          <w:rFonts w:ascii="Arial" w:cs="Arial" w:eastAsia="Arial" w:hAnsi="Arial"/>
          <w:i/>
          <w:iCs/>
          <w:color w:val="854F0B"/>
          <w:sz w:val="24"/>
          <w:szCs w:val="24"/>
        </w:rPr>
        <w:t xml:space="preserve">ne périsse pas mais ait la vie éternelle.</w:t>
      </w:r>
    </w:p>
    <w:p>
      <w:pPr>
        <w:pStyle w:val="Heading2"/>
        <w:spacing w:before="280" w:after="120"/>
      </w:pPr>
      <w:r>
        <w:rPr>
          <w:rFonts w:ascii="Arial" w:cs="Arial" w:eastAsia="Arial" w:hAnsi="Arial"/>
          <w:b/>
          <w:bCs/>
          <w:color w:val="333333"/>
          <w:sz w:val="26"/>
          <w:szCs w:val="26"/>
        </w:rPr>
        <w:t xml:space="preserve">Niveau 1 — Éclairage du verset entier</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60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Référence</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Statut</w:t>
            </w:r>
          </w:p>
        </w:tc>
        <w:tc>
          <w:tcPr>
            <w:tcW w:type="dxa" w:w="6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Texte S21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Romains 5:8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Mais voici comment Dieu prouve son amour envers nous : alors que nous étions encore des pécheurs, Christ est mort pour nous.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1 Jean 4:9–10</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Voici comment l'amour de Dieu s'est manifesté envers nous : Dieu a envoyé son Fils unique dans le monde afin que par lui nous ayons la vie. Et cet amour consiste non pas dans le fait que nous avons aimé Dieu, mais dans le fait que lui nous a aimés et a envoyé son Fils comme victime expiatoire pour nos péchés.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Romains 8:32</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Lui qui n'a pas épargné son propre Fils mais l'a donné pour nous tous, comment ne nous accorderait-il pas aussi tout avec lui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Éphésiens 2:4–5</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Mais Dieu est riche en compassion. À cause du grand amour dont il nous a aimés, il nous a rendus vivants avec Christ alors que nous étions morts à cause de nos fautes.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Hébreux 11:17</w:t>
            </w:r>
          </w:p>
        </w:tc>
        <w:tc>
          <w:tcPr>
            <w:tcW w:type="dxa" w:w="900"/>
            <w:tcBorders>
              <w:top w:val="single" w:color="CCCCCC" w:sz="1"/>
              <w:left w:val="single" w:color="CCCCCC" w:sz="1"/>
              <w:bottom w:val="single" w:color="CCCCCC" w:sz="1"/>
              <w:right w:val="single" w:color="CCCCCC" w:sz="1"/>
            </w:tcBorders>
            <w:shd w:fill="EEEDFE" w:val="clear"/>
            <w:tcMar>
              <w:top w:type="dxa" w:w="80"/>
              <w:left w:type="dxa" w:w="120"/>
              <w:bottom w:type="dxa" w:w="80"/>
              <w:right w:type="dxa" w:w="120"/>
            </w:tcMar>
          </w:tcPr>
          <w:p>
            <w:pPr>
              <w:jc w:val="center"/>
            </w:pPr>
            <w:r>
              <w:rPr>
                <w:rFonts w:ascii="Arial" w:cs="Arial" w:eastAsia="Arial" w:hAnsi="Arial"/>
                <w:color w:val="534AB7"/>
                <w:sz w:val="18"/>
                <w:szCs w:val="18"/>
              </w:rPr>
              <w:t xml:space="preserve">Typologique</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C'est par la foi qu'Abraham a offert Isaac lorsqu'il a été mis à l'épreuve. Oui, il a offert son fils unique en sacrifice, bien qu'il ait reçu les promesses.</w:t>
            </w:r>
          </w:p>
          <w:p>
            <w:pPr>
              <w:spacing w:before="40"/>
            </w:pPr>
            <w:r>
              <w:rPr>
                <w:rFonts w:ascii="Arial" w:cs="Arial" w:eastAsia="Arial" w:hAnsi="Arial"/>
                <w:color w:val="888888"/>
                <w:sz w:val="18"/>
                <w:szCs w:val="18"/>
              </w:rPr>
              <w:t xml:space="preserve">↳ Type humain du don du Fils — placé au Niveau 1 car c'est Abraham qui donne, non Dieu directement.</w:t>
            </w:r>
          </w:p>
        </w:tc>
      </w:tr>
    </w:tbl>
    <w:p>
      <w:pPr>
        <w:spacing w:before="160" w:after="0"/>
      </w:pPr>
    </w:p>
    <w:p>
      <w:pPr>
        <w:pStyle w:val="Heading2"/>
        <w:spacing w:before="280" w:after="120"/>
      </w:pPr>
      <w:r>
        <w:rPr>
          <w:rFonts w:ascii="Arial" w:cs="Arial" w:eastAsia="Arial" w:hAnsi="Arial"/>
          <w:b/>
          <w:bCs/>
          <w:color w:val="333333"/>
          <w:sz w:val="26"/>
          <w:szCs w:val="26"/>
        </w:rPr>
        <w:t xml:space="preserve">Niveau 2 — Par fragment sémantique</w:t>
      </w:r>
    </w:p>
    <w:p>
      <w:pPr>
        <w:shd w:fill="EEEDFE" w:val="clear"/>
        <w:spacing w:before="160" w:after="80"/>
        <w:ind w:left="0"/>
      </w:pPr>
      <w:r>
        <w:rPr>
          <w:rFonts w:ascii="Arial" w:cs="Arial" w:eastAsia="Arial" w:hAnsi="Arial"/>
          <w:b/>
          <w:bCs/>
          <w:color w:val="534AB7"/>
          <w:sz w:val="22"/>
          <w:szCs w:val="22"/>
        </w:rPr>
        <w:t xml:space="preserve">  🟣  "Dieu a tant aimé le monde"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60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Référence</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Statut</w:t>
            </w:r>
          </w:p>
        </w:tc>
        <w:tc>
          <w:tcPr>
            <w:tcW w:type="dxa" w:w="6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Texte S21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1 Jean 4:8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Celui qui n'aime pas n'a pas connu Dieu, car Dieu est amour.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Tite 3:4</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Mais lorsque la bonté de Dieu notre Sauveur et son amour pour les hommes ont été révélés, il nous a sauvés.</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Éphésiens 2:4</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Mais Dieu est riche en compassion. À cause du grand amour dont il nous a aimés…</w:t>
            </w:r>
          </w:p>
        </w:tc>
      </w:tr>
    </w:tbl>
    <w:p>
      <w:pPr>
        <w:spacing w:before="80" w:after="0"/>
      </w:pPr>
    </w:p>
    <w:p>
      <w:pPr>
        <w:shd w:fill="E1F5EE" w:val="clear"/>
        <w:spacing w:before="160" w:after="80"/>
        <w:ind w:left="0"/>
      </w:pPr>
      <w:r>
        <w:rPr>
          <w:rFonts w:ascii="Arial" w:cs="Arial" w:eastAsia="Arial" w:hAnsi="Arial"/>
          <w:b/>
          <w:bCs/>
          <w:color w:val="0F6E56"/>
          <w:sz w:val="22"/>
          <w:szCs w:val="22"/>
        </w:rPr>
        <w:t xml:space="preserve">  🟢  "qu'il a donné son Fils unique"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60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Référence</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Statut</w:t>
            </w:r>
          </w:p>
        </w:tc>
        <w:tc>
          <w:tcPr>
            <w:tcW w:type="dxa" w:w="6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Texte S21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Ésaïe 53:10</w:t>
            </w:r>
          </w:p>
        </w:tc>
        <w:tc>
          <w:tcPr>
            <w:tcW w:type="dxa" w:w="900"/>
            <w:tcBorders>
              <w:top w:val="single" w:color="CCCCCC" w:sz="1"/>
              <w:left w:val="single" w:color="CCCCCC" w:sz="1"/>
              <w:bottom w:val="single" w:color="CCCCCC" w:sz="1"/>
              <w:right w:val="single" w:color="CCCCCC" w:sz="1"/>
            </w:tcBorders>
            <w:shd w:fill="E1F5EE" w:val="clear"/>
            <w:tcMar>
              <w:top w:type="dxa" w:w="80"/>
              <w:left w:type="dxa" w:w="120"/>
              <w:bottom w:type="dxa" w:w="80"/>
              <w:right w:type="dxa" w:w="120"/>
            </w:tcMar>
          </w:tcPr>
          <w:p>
            <w:pPr>
              <w:jc w:val="center"/>
            </w:pPr>
            <w:r>
              <w:rPr>
                <w:rFonts w:ascii="Arial" w:cs="Arial" w:eastAsia="Arial" w:hAnsi="Arial"/>
                <w:color w:val="0F6E56"/>
                <w:sz w:val="18"/>
                <w:szCs w:val="18"/>
              </w:rPr>
              <w:t xml:space="preserve">AT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L'Éternel a voulu le briser par la souffrance. Si tu fais de sa vie un sacrifice de culpabilité, il verra une descendance et vivra longtemps, et la volonté de l'Éternel sera accomplie par son intermédiaire.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Galates 4:4–5</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Mais, lorsque le moment est vraiment venu, Dieu a envoyé son Fils, né d'une femme, né sous la loi, pour racheter ceux qui étaient sous la loi afin que nous recevions le statut d'enfants adoptifs.</w:t>
            </w:r>
          </w:p>
        </w:tc>
      </w:tr>
    </w:tbl>
    <w:p>
      <w:pPr>
        <w:spacing w:before="80" w:after="0"/>
      </w:pPr>
    </w:p>
    <w:p>
      <w:pPr>
        <w:shd w:fill="E6F1FB" w:val="clear"/>
        <w:spacing w:before="160" w:after="80"/>
        <w:ind w:left="0"/>
      </w:pPr>
      <w:r>
        <w:rPr>
          <w:rFonts w:ascii="Arial" w:cs="Arial" w:eastAsia="Arial" w:hAnsi="Arial"/>
          <w:b/>
          <w:bCs/>
          <w:color w:val="185FA5"/>
          <w:sz w:val="22"/>
          <w:szCs w:val="22"/>
        </w:rPr>
        <w:t xml:space="preserve">  🔵  "afin que quiconque croit en lui"</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60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Référence</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Statut</w:t>
            </w:r>
          </w:p>
        </w:tc>
        <w:tc>
          <w:tcPr>
            <w:tcW w:type="dxa" w:w="6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Texte S21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Romains 1:16</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En effet, je n'ai pas honte de l'Évangile : c'est la puissance de Dieu pour le salut de tout homme qui croit, du Juif d'abord, mais aussi du non-Juif.</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Jean 6:40</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854F0B"/>
                <w:sz w:val="18"/>
                <w:szCs w:val="18"/>
              </w:rPr>
              <w:t xml:space="preserve">Doublon ✓</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En effet, la volonté de mon Père, c'est que toute personne qui voit le Fils et croit en lui ait la vie éternelle, et moi, je la ressusciterai au dernier jour.</w:t>
            </w:r>
          </w:p>
          <w:p>
            <w:pPr>
              <w:spacing w:before="40"/>
            </w:pPr>
            <w:r>
              <w:rPr>
                <w:rFonts w:ascii="Arial" w:cs="Arial" w:eastAsia="Arial" w:hAnsi="Arial"/>
                <w:color w:val="888888"/>
                <w:sz w:val="18"/>
                <w:szCs w:val="18"/>
              </w:rPr>
              <w:t xml:space="preserve">↳ Doublon autorisé — angle différent au Niveau 2 : universalité de la foi.</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Actes 16:31</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Paul et Silas ont répondu : « Crois au Seigneur Jésus[-Christ] et tu seras sauvé, toi et ta famille. »</w:t>
            </w:r>
          </w:p>
        </w:tc>
      </w:tr>
    </w:tbl>
    <w:p>
      <w:pPr>
        <w:spacing w:before="80" w:after="0"/>
      </w:pPr>
    </w:p>
    <w:p>
      <w:pPr>
        <w:shd w:fill="FAEEDA" w:val="clear"/>
        <w:spacing w:before="160" w:after="80"/>
        <w:ind w:left="0"/>
      </w:pPr>
      <w:r>
        <w:rPr>
          <w:rFonts w:ascii="Arial" w:cs="Arial" w:eastAsia="Arial" w:hAnsi="Arial"/>
          <w:b/>
          <w:bCs/>
          <w:color w:val="854F0B"/>
          <w:sz w:val="22"/>
          <w:szCs w:val="22"/>
        </w:rPr>
        <w:t xml:space="preserve">  🟡  "ne périsse pas mais ait la vie éternelle"</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1800"/>
        <w:gridCol w:w="900"/>
        <w:gridCol w:w="60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18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Référence</w:t>
            </w:r>
          </w:p>
        </w:tc>
        <w:tc>
          <w:tcPr>
            <w:tcW w:type="dxa" w:w="9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Statut</w:t>
            </w:r>
          </w:p>
        </w:tc>
        <w:tc>
          <w:tcPr>
            <w:tcW w:type="dxa" w:w="60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Texte S21</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1</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Jean 10:28</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Je leur donne la vie éternelle. Elles ne périront jamais et personne ne pourra les arracher à ma main.</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2</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Jean 11:25–26</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Jésus lui dit : « C'est moi qui suis la résurrection et la vie. Celui qui croit en moi vivra, même s'il meurt ; et toute personne qui vit et croit en moi ne mourra jamais. »</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3</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Romains 6:23</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En effet, le salaire du péché, c'est la mort, mais le don gratuit de Dieu, c'est la vie éternelle en Jésus-Christ notre Seigneur.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Romains 5:21</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Ainsi, de même que le péché a régné par la mort, de même la grâce règne par la justice pour la vie éternelle, par Jésus-Christ notre Seigneur.</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Jean 6:40</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854F0B"/>
                <w:sz w:val="18"/>
                <w:szCs w:val="18"/>
              </w:rPr>
              <w:t xml:space="preserve">Doublon ✓</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En effet, la volonté de mon Père, c'est que toute personne qui voit le Fils et croit en lui ait la vie éternelle, et moi, je la ressusciterai au dernier jour.</w:t>
            </w:r>
          </w:p>
          <w:p>
            <w:pPr>
              <w:spacing w:before="40"/>
            </w:pPr>
            <w:r>
              <w:rPr>
                <w:rFonts w:ascii="Arial" w:cs="Arial" w:eastAsia="Arial" w:hAnsi="Arial"/>
                <w:color w:val="888888"/>
                <w:sz w:val="18"/>
                <w:szCs w:val="18"/>
              </w:rPr>
              <w:t xml:space="preserve">↳ Doublon autorisé — angle différent : résurrection finale.</w:t>
            </w:r>
          </w:p>
        </w:tc>
      </w:tr>
      <w:tr>
        <w:tc>
          <w:tcPr>
            <w:tcW w:type="dxa" w:w="5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pPr>
              <w:jc w:val="center"/>
            </w:pPr>
            <w:r>
              <w:rPr>
                <w:rFonts w:ascii="Arial" w:cs="Arial" w:eastAsia="Arial" w:hAnsi="Arial"/>
                <w:b/>
                <w:bCs/>
                <w:color w:val="555555"/>
                <w:sz w:val="20"/>
                <w:szCs w:val="20"/>
              </w:rPr>
              <w:t xml:space="preserve">6</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1B4F8A"/>
                <w:sz w:val="20"/>
                <w:szCs w:val="20"/>
              </w:rPr>
              <w:t xml:space="preserve">Luc 9:25</w:t>
            </w:r>
          </w:p>
        </w:tc>
        <w:tc>
          <w:tcPr>
            <w:tcW w:type="dxa" w:w="900"/>
            <w:tcBorders>
              <w:top w:val="single" w:color="CCCCCC" w:sz="1"/>
              <w:left w:val="single" w:color="CCCCCC" w:sz="1"/>
              <w:bottom w:val="single" w:color="CCCCCC" w:sz="1"/>
              <w:right w:val="single" w:color="CCCCCC" w:sz="1"/>
            </w:tcBorders>
            <w:shd w:fill="E6F1FB" w:val="clear"/>
            <w:tcMar>
              <w:top w:type="dxa" w:w="80"/>
              <w:left w:type="dxa" w:w="120"/>
              <w:bottom w:type="dxa" w:w="80"/>
              <w:right w:type="dxa" w:w="120"/>
            </w:tcMar>
          </w:tcPr>
          <w:p>
            <w:pPr>
              <w:jc w:val="center"/>
            </w:pPr>
            <w:r>
              <w:rPr>
                <w:rFonts w:ascii="Arial" w:cs="Arial" w:eastAsia="Arial" w:hAnsi="Arial"/>
                <w:color w:val="185FA5"/>
                <w:sz w:val="18"/>
                <w:szCs w:val="18"/>
              </w:rPr>
              <w:t xml:space="preserve">NT</w:t>
            </w:r>
          </w:p>
        </w:tc>
        <w:tc>
          <w:tcPr>
            <w:tcW w:type="dxa" w:w="60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i/>
                <w:iCs/>
                <w:color w:val="333333"/>
                <w:sz w:val="20"/>
                <w:szCs w:val="20"/>
              </w:rPr>
              <w:t xml:space="preserve">Que sert-il à un homme de gagner le monde entier, s'il se perd ou se détruit lui-même ?</w:t>
            </w:r>
          </w:p>
          <w:p>
            <w:pPr>
              <w:spacing w:before="40"/>
            </w:pPr>
            <w:r>
              <w:rPr>
                <w:rFonts w:ascii="Arial" w:cs="Arial" w:eastAsia="Arial" w:hAnsi="Arial"/>
                <w:color w:val="888888"/>
                <w:sz w:val="18"/>
                <w:szCs w:val="18"/>
              </w:rPr>
              <w:t xml:space="preserve">↳ Même racine grecque apollymi que « périsse » dans Jean 3:16.</w:t>
            </w:r>
          </w:p>
        </w:tc>
      </w:tr>
    </w:tbl>
    <w:p>
      <w:pPr>
        <w:spacing w:before="80" w:after="0"/>
      </w:pPr>
    </w:p>
    <w:p>
      <w:pPr>
        <w:pBdr>
          <w:bottom w:val="single" w:color="DDDDDD" w:sz="4"/>
        </w:pBdr>
        <w:spacing w:before="200" w:after="200"/>
      </w:pPr>
    </w:p>
    <w:p>
      <w:pPr>
        <w:pStyle w:val="Heading1"/>
        <w:spacing w:before="360" w:after="160"/>
      </w:pPr>
      <w:r>
        <w:rPr>
          <w:rFonts w:ascii="Arial" w:cs="Arial" w:eastAsia="Arial" w:hAnsi="Arial"/>
          <w:b/>
          <w:bCs/>
          <w:color w:val="1B4F8A"/>
          <w:sz w:val="32"/>
          <w:szCs w:val="32"/>
        </w:rPr>
        <w:t xml:space="preserve">Synthèse des règles</w:t>
      </w:r>
    </w:p>
    <w:p>
      <w:pPr>
        <w:spacing w:before="0" w:after="200"/>
        <w:jc w:val="center"/>
      </w:pPr>
      <w:r>
        <w:rPr>
          <w:rFonts w:ascii="Arial" w:cs="Arial" w:eastAsia="Arial" w:hAnsi="Arial"/>
          <w:i/>
          <w:iCs/>
          <w:color w:val="C9A84C"/>
          <w:sz w:val="24"/>
          <w:szCs w:val="24"/>
        </w:rPr>
        <w:t xml:space="preserve">« </w:t>
      </w:r>
      <w:r>
        <w:rPr>
          <w:rFonts w:ascii="Arial" w:cs="Arial" w:eastAsia="Arial" w:hAnsi="Arial"/>
          <w:b/>
          <w:bCs/>
          <w:i/>
          <w:iCs/>
          <w:color w:val="C9A84C"/>
          <w:sz w:val="24"/>
          <w:szCs w:val="24"/>
        </w:rPr>
        <w:t xml:space="preserve">La Bible explique la Bible</w:t>
      </w:r>
      <w:r>
        <w:rPr>
          <w:rFonts w:ascii="Arial" w:cs="Arial" w:eastAsia="Arial" w:hAnsi="Arial"/>
          <w:i/>
          <w:iCs/>
          <w:color w:val="C9A84C"/>
          <w:sz w:val="24"/>
          <w:szCs w:val="24"/>
        </w:rPr>
        <w:t xml:space="preserve"> »</w:t>
      </w:r>
    </w:p>
    <w:tbl>
      <w:tblPr>
        <w:tblW w:type="dxa" w:w="9260"/>
        <w:tblBorders>
          <w:top w:val="single" w:color="auto" w:sz="4"/>
          <w:left w:val="single" w:color="auto" w:sz="4"/>
          <w:bottom w:val="single" w:color="auto" w:sz="4"/>
          <w:right w:val="single" w:color="auto" w:sz="4"/>
          <w:insideH w:val="single" w:color="auto" w:sz="4"/>
          <w:insideV w:val="single" w:color="auto" w:sz="4"/>
        </w:tblBorders>
      </w:tblPr>
      <w:tblGrid>
        <w:gridCol w:w="500"/>
        <w:gridCol w:w="3000"/>
        <w:gridCol w:w="5760"/>
      </w:tblGrid>
      <w:tr>
        <w:trPr>
          <w:tblHeader/>
        </w:trP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w:t>
            </w:r>
          </w:p>
        </w:tc>
        <w:tc>
          <w:tcPr>
            <w:tcW w:type="dxa" w:w="30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Règle</w:t>
            </w:r>
          </w:p>
        </w:tc>
        <w:tc>
          <w:tcPr>
            <w:tcW w:type="dxa" w:w="576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r>
              <w:rPr>
                <w:rFonts w:ascii="Arial" w:cs="Arial" w:eastAsia="Arial" w:hAnsi="Arial"/>
                <w:b/>
                <w:bCs/>
                <w:color w:val="1B4F8A"/>
                <w:sz w:val="20"/>
                <w:szCs w:val="20"/>
              </w:rPr>
              <w:t xml:space="preserve">Principe</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1</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Version de référence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S21 par défaut — grec/hébreu en arbitre en cas de doute</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2</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Granularité minimale</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Jamais un fragment de verset — verset entier minimum</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3</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Blocs autorisés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Plusieurs versets consécutifs si unité de sens indissociable</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4</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Quantité</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Aucun minimum ni maximum — qualité prime sur quantité. Ne jamais remplacer un verset retiré par un verset de moindre qualité</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5</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Test d'inclusion</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Trois cas : éclaire (retenu) / complète (ailleurs) / illustre une condition implicite (recevable si elle explicite le sous-entendu du texte)</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6</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Périmètre Niveau 1</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Réseau thématique large — mais chaque référence doit éclairer le verset entier, pas seulement un fragment</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7</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Doublons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Autorisés entre Niveau 1 et 2 si angle différent à chaque niveau</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8</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Références typologiques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Figure humaine → Niveau 1 uniquement, jamais Niveau 2</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9</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Figures humaines déléguées</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Lien avec Dieu/Christ doit être explicite dans le texte — on ne fait pas le lien à la place du lecteur</w:t>
            </w:r>
          </w:p>
        </w:tc>
      </w:tr>
      <w:tr>
        <w:tc>
          <w:tcPr>
            <w:tcW w:type="dxa" w:w="500"/>
            <w:tcBorders>
              <w:top w:val="single" w:color="CCCCCC" w:sz="1"/>
              <w:left w:val="single" w:color="CCCCCC" w:sz="1"/>
              <w:bottom w:val="single" w:color="CCCCCC" w:sz="1"/>
              <w:right w:val="single" w:color="CCCCCC" w:sz="1"/>
            </w:tcBorders>
            <w:shd w:fill="DCE6F1" w:val="clear"/>
            <w:tcMar>
              <w:top w:type="dxa" w:w="80"/>
              <w:left w:type="dxa" w:w="120"/>
              <w:bottom w:type="dxa" w:w="80"/>
              <w:right w:type="dxa" w:w="120"/>
            </w:tcMar>
          </w:tcPr>
          <w:p>
            <w:pPr>
              <w:jc w:val="center"/>
            </w:pPr>
            <w:r>
              <w:rPr>
                <w:rFonts w:ascii="Arial" w:cs="Arial" w:eastAsia="Arial" w:hAnsi="Arial"/>
                <w:b/>
                <w:bCs/>
                <w:color w:val="1B4F8A"/>
                <w:sz w:val="20"/>
                <w:szCs w:val="20"/>
              </w:rPr>
              <w:t xml:space="preserve">10</w:t>
            </w:r>
          </w:p>
        </w:tc>
        <w:tc>
          <w:tcPr>
            <w:tcW w:type="dxa" w:w="3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sz w:val="20"/>
                <w:szCs w:val="20"/>
              </w:rPr>
              <w:t xml:space="preserve">Contexte circonstanciel</w:t>
            </w:r>
          </w:p>
        </w:tc>
        <w:tc>
          <w:tcPr>
            <w:tcW w:type="dxa" w:w="57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color w:val="444444"/>
                <w:sz w:val="20"/>
                <w:szCs w:val="20"/>
              </w:rPr>
              <w:t xml:space="preserve">Une référence ancrée dans une situation particulière n'est retenue que si sa vérité dépasse ce contexte et parle universellement</w:t>
            </w:r>
          </w:p>
        </w:tc>
      </w:tr>
    </w:tbl>
    <w:p>
      <w:pPr>
        <w:spacing w:before="400" w:after="0"/>
      </w:pPr>
    </w:p>
    <w:p>
      <w:pPr>
        <w:jc w:val="center"/>
      </w:pPr>
      <w:r>
        <w:rPr>
          <w:rFonts w:ascii="Arial" w:cs="Arial" w:eastAsia="Arial" w:hAnsi="Arial"/>
          <w:i/>
          <w:iCs/>
          <w:color w:val="AAAAAA"/>
          <w:sz w:val="18"/>
          <w:szCs w:val="18"/>
        </w:rPr>
        <w:t xml:space="preserve">Document de travail — Rachel Sans &amp; Claude — maBible 2026</w:t>
      </w:r>
    </w:p>
    <w:sectPr>
      <w:footerReference w:type="default" r:id="rId6"/>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999999"/>
        <w:sz w:val="18"/>
        <w:szCs w:val="18"/>
      </w:rPr>
      <w:t xml:space="preserve">maBible — Références croisées — Règles éditoriales v3.0  |  </w:t>
    </w:r>
    <w:r>
      <w:rPr>
        <w:rFonts w:ascii="Arial" w:cs="Arial" w:eastAsia="Arial" w:hAnsi="Arial"/>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720" w:hanging="360"/>
      </w:pPr>
      <w:rPr>
        <w:rFonts w:ascii="Arial" w:cs="Arial" w:eastAsia="Arial" w:hAnsi="Arial"/>
        <w:b/>
        <w:bCs/>
        <w:color w:val="1B4F8A"/>
        <w:sz w:val="22"/>
        <w:szCs w:val="22"/>
      </w:r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60"/>
      <w:outlineLvl w:val="0"/>
    </w:pPr>
    <w:rPr>
      <w:rFonts w:ascii="Arial" w:cs="Arial" w:eastAsia="Arial" w:hAnsi="Arial"/>
      <w:b/>
      <w:bCs/>
      <w:color w:val="1B4F8A"/>
      <w:sz w:val="32"/>
      <w:szCs w:val="32"/>
    </w:rPr>
  </w:style>
  <w:style w:type="paragraph" w:styleId="Heading2">
    <w:name w:val="Heading 2"/>
    <w:basedOn w:val="Normal"/>
    <w:next w:val="Normal"/>
    <w:qFormat/>
    <w:pPr>
      <w:spacing w:before="280" w:after="120"/>
      <w:outlineLvl w:val="1"/>
    </w:pPr>
    <w:rPr>
      <w:rFonts w:ascii="Arial" w:cs="Arial" w:eastAsia="Arial" w:hAnsi="Arial"/>
      <w:b/>
      <w:bCs/>
      <w:color w:val="333333"/>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2026-03-21T16:26:33.627Z</dcterms:created>
  <dcterms:modified xsi:type="dcterms:W3CDTF">2026-03-21T16:26:33.629Z</dcterms:modified>
</cp:coreProperties>
</file>

<file path=docProps/custom.xml><?xml version="1.0" encoding="utf-8"?>
<Properties xmlns="http://schemas.openxmlformats.org/officeDocument/2006/custom-properties" xmlns:vt="http://schemas.openxmlformats.org/officeDocument/2006/docPropsVTypes"/>
</file>