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 w14:paraId="5511C681" w14:textId="5A48F19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</w:rPr>
              <w:t xml:space="preserve"> ATAM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 w14:paraId="0AC0E9D4" w14:textId="7DEF014F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</w:rPr>
              <w:t>Sécurité, Secourisme et Procédures d’Urgence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 w14:paraId="4AA144C7" w14:textId="7DEF0150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</w:rPr>
              <w:t>Gestion Intégrale des Situations de Crise</w:t>
            </w:r>
          </w:p>
        </w:tc>
        <w:tc>
          <w:tcPr>
            <w:tcW w:w="4788" w:type="dxa"/>
            <w:gridSpan w:val="3"/>
          </w:tcPr>
          <w:p w14:paraId="27D86CCC" w14:textId="7DEF0151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</w:rPr>
              <w:t>Objectifs : Maîtriser les protocoles de survie, les évacuations d’urgence et les gestes de premiers secours.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 w14:paraId="5C16A5D1" w14:textId="7DEF0152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</w:rPr>
              <w:t>09/04/2026</w:t>
            </w:r>
          </w:p>
        </w:tc>
        <w:tc>
          <w:tcPr>
            <w:tcW w:w="2584" w:type="dxa"/>
          </w:tcPr>
          <w:p w14:paraId="6BE417AB" w14:textId="7DEF0153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</w:rPr>
              <w:t>4 Heures</w:t>
            </w:r>
          </w:p>
        </w:tc>
        <w:tc>
          <w:tcPr>
            <w:tcW w:w="4788" w:type="dxa"/>
            <w:gridSpan w:val="3"/>
          </w:tcPr>
          <w:p w14:paraId="286CE5AC" w14:textId="7DEF015B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</w:rPr>
              <w:t>Examen Fin de Cursus de Formation (EFCF)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 w14:paraId="615720F7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Conditions et organisation du contrôle :</w:t>
            </w:r>
          </w:p>
          <w:p w14:paraId="66988F8D" w14:textId="7DEF015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  <w:color w:val="999999"/>
              </w:rPr>
            </w:pPr>
            <w:r w:rsidRPr="00782DD9">
              <w:rPr>
                <w:rFonts w:ascii="Times New Roman" w:hAnsi="Times New Roman" w:cs="Times New Roman"/>
                <w:bCs/>
                <w:color w:val="999999"/>
              </w:rPr>
              <w:t>L’épreuve se déroule en deux parties : un test écrit théorique (QCM) suivi d’une mise en situation pratique sur simulateur. Individuellement et en équipe.</w:t>
            </w:r>
          </w:p>
        </w:tc>
        <w:tc>
          <w:tcPr>
            <w:tcW w:w="4518" w:type="dxa"/>
          </w:tcPr>
          <w:p w14:paraId="05C7FCA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Critères d’appréciation des résultats :</w:t>
            </w:r>
          </w:p>
          <w:p w14:paraId="64353444" w14:textId="7DEF0158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  <w:color w:val="999999"/>
              </w:rPr>
            </w:pPr>
            <w:r w:rsidRPr="00782DD9">
              <w:rPr>
                <w:rFonts w:ascii="Times New Roman" w:hAnsi="Times New Roman" w:cs="Times New Roman"/>
                <w:bCs/>
                <w:color w:val="999999"/>
              </w:rPr>
              <w:t>Respect des procédures d’urgence, rapidité d’exécution, gestion du stress, pertinence des soins prodigués et coordination avec l’équipage.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 w14:paraId="1F627974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Description des objectifs de l’épreuve :</w:t>
            </w:r>
          </w:p>
          <w:p w14:paraId="1FDA26B7" w14:textId="7DEF0159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  <w:color w:val="999999"/>
              </w:rPr>
            </w:pPr>
            <w:r w:rsidRPr="00782DD9">
              <w:rPr>
                <w:rFonts w:ascii="Times New Roman" w:hAnsi="Times New Roman" w:cs="Times New Roman"/>
                <w:bCs/>
                <w:color w:val="999999"/>
              </w:rPr>
              <w:t>Vérifier l’aptitude opérationnelle à gérer une évacuation (Air/Mer), à appliquer les protocoles de survie et à assurer une intervention de secourisme efficace.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