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LegalHoldAdmin System Design Brief</w:t>
      </w:r>
    </w:p>
    <w:p>
      <w:r>
        <w:rPr>
          <w:i/>
        </w:rPr>
        <w:t>Generated August 30, 2026 | .NET Blazor Server / SQL Server LocalDB</w:t>
      </w:r>
    </w:p>
    <w:p>
      <w:pPr>
        <w:pStyle w:val="Heading1"/>
      </w:pPr>
      <w:r>
        <w:t>Purpose</w:t>
      </w:r>
    </w:p>
    <w:p>
      <w:r>
        <w:t>LegalHoldAdmin is a focused internal web application for searching customers and legal holds, creating or updating legal hold records, and comparing a current inline-edit workflow with a V2 modal-based workflow for team review.</w:t>
      </w:r>
    </w:p>
    <w:p>
      <w:pPr>
        <w:pStyle w:val="Heading1"/>
      </w:pPr>
      <w:r>
        <w:t>System Context</w:t>
      </w:r>
    </w:p>
    <w:p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lholdadmin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Runtime boundary between Blazor UI, repository, stored procedures, and SQL Server data.</w:t>
      </w:r>
    </w:p>
    <w:p>
      <w:pPr>
        <w:pStyle w:val="Heading1"/>
      </w:pPr>
      <w:r>
        <w:t>Architecture Summary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F2F4F7"/>
            <w:vAlign w:val="top"/>
          </w:tcPr>
          <w:p>
            <w:r>
              <w:rPr>
                <w:b/>
              </w:rPr>
              <w:t>Area</w:t>
            </w:r>
          </w:p>
        </w:tc>
        <w:tc>
          <w:tcPr>
            <w:tcW w:type="dxa" w:w="6984"/>
            <w:shd w:fill="F2F4F7"/>
            <w:vAlign w:val="top"/>
          </w:tcPr>
          <w:p>
            <w:r>
              <w:rPr>
                <w:b/>
              </w:rPr>
              <w:t>Design</w:t>
            </w:r>
          </w:p>
        </w:tc>
      </w:tr>
      <w:tr>
        <w:tc>
          <w:tcPr>
            <w:tcW w:type="dxa" w:w="2232"/>
            <w:vAlign w:val="top"/>
          </w:tcPr>
          <w:p>
            <w:r>
              <w:t>Runtime</w:t>
            </w:r>
          </w:p>
        </w:tc>
        <w:tc>
          <w:tcPr>
            <w:tcW w:type="dxa" w:w="6984"/>
            <w:vAlign w:val="top"/>
          </w:tcPr>
          <w:p>
            <w:r>
              <w:t>ASP.NET Core Razor Components with Interactive Server rendering on .NET 9.</w:t>
            </w:r>
          </w:p>
        </w:tc>
      </w:tr>
      <w:tr>
        <w:tc>
          <w:tcPr>
            <w:tcW w:type="dxa" w:w="2232"/>
            <w:vAlign w:val="top"/>
          </w:tcPr>
          <w:p>
            <w:r>
              <w:t>UI libraries</w:t>
            </w:r>
          </w:p>
        </w:tc>
        <w:tc>
          <w:tcPr>
            <w:tcW w:type="dxa" w:w="6984"/>
            <w:vAlign w:val="top"/>
          </w:tcPr>
          <w:p>
            <w:r>
              <w:t>Radzen.Blazor provides DataGrid, dialog services, modal host components, and material styling.</w:t>
            </w:r>
          </w:p>
        </w:tc>
      </w:tr>
      <w:tr>
        <w:tc>
          <w:tcPr>
            <w:tcW w:type="dxa" w:w="2232"/>
            <w:vAlign w:val="top"/>
          </w:tcPr>
          <w:p>
            <w:r>
              <w:t>Composition</w:t>
            </w:r>
          </w:p>
        </w:tc>
        <w:tc>
          <w:tcPr>
            <w:tcW w:type="dxa" w:w="6984"/>
            <w:vAlign w:val="top"/>
          </w:tcPr>
          <w:p>
            <w:r>
              <w:t>MainLayout owns the shell and navigation. Routes maps pages into the layout. App loads Bootstrap, Radzen CSS/JS, app CSS, and Blazor.</w:t>
            </w:r>
          </w:p>
        </w:tc>
      </w:tr>
      <w:tr>
        <w:tc>
          <w:tcPr>
            <w:tcW w:type="dxa" w:w="2232"/>
            <w:vAlign w:val="top"/>
          </w:tcPr>
          <w:p>
            <w:r>
              <w:t>Application boundary</w:t>
            </w:r>
          </w:p>
        </w:tc>
        <w:tc>
          <w:tcPr>
            <w:tcW w:type="dxa" w:w="6984"/>
            <w:vAlign w:val="top"/>
          </w:tcPr>
          <w:p>
            <w:r>
              <w:t>Pages and components depend on ILegalHoldRepository rather than SQL directly.</w:t>
            </w:r>
          </w:p>
        </w:tc>
      </w:tr>
      <w:tr>
        <w:tc>
          <w:tcPr>
            <w:tcW w:type="dxa" w:w="2232"/>
            <w:vAlign w:val="top"/>
          </w:tcPr>
          <w:p>
            <w:r>
              <w:t>Persistence</w:t>
            </w:r>
          </w:p>
        </w:tc>
        <w:tc>
          <w:tcPr>
            <w:tcW w:type="dxa" w:w="6984"/>
            <w:vAlign w:val="top"/>
          </w:tcPr>
          <w:p>
            <w:r>
              <w:t>LegalHoldRepository uses Microsoft.Data.SqlClient and configured stored procedure names against SQL Server LocalDB.</w:t>
            </w:r>
          </w:p>
        </w:tc>
      </w:tr>
      <w:tr>
        <w:tc>
          <w:tcPr>
            <w:tcW w:type="dxa" w:w="2232"/>
            <w:vAlign w:val="top"/>
          </w:tcPr>
          <w:p>
            <w:r>
              <w:t>Configuration</w:t>
            </w:r>
          </w:p>
        </w:tc>
        <w:tc>
          <w:tcPr>
            <w:tcW w:type="dxa" w:w="6984"/>
            <w:vAlign w:val="top"/>
          </w:tcPr>
          <w:p>
            <w:r>
              <w:t>appsettings.json provides the LegalHoldAdmin_DEV connection string, procedure names, and LegalHold:ReadOnlyMode.</w:t>
            </w:r>
          </w:p>
        </w:tc>
      </w:tr>
      <w:tr>
        <w:tc>
          <w:tcPr>
            <w:tcW w:type="dxa" w:w="2232"/>
            <w:vAlign w:val="top"/>
          </w:tcPr>
          <w:p>
            <w:r>
              <w:t>Diagnostics</w:t>
            </w:r>
          </w:p>
        </w:tc>
        <w:tc>
          <w:tcPr>
            <w:tcW w:type="dxa" w:w="6984"/>
            <w:vAlign w:val="top"/>
          </w:tcPr>
          <w:p>
            <w:r>
              <w:t>Console logging is enabled. Repository SQL failures are logged and rethrown as InvalidOperationException for UI display.</w:t>
            </w:r>
          </w:p>
        </w:tc>
      </w:tr>
    </w:tbl>
    <w:p>
      <w:pPr>
        <w:pStyle w:val="Heading1"/>
      </w:pPr>
      <w:r>
        <w:t>Component Map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E8EEF5"/>
            <w:vAlign w:val="top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088"/>
            <w:shd w:fill="E8EEF5"/>
            <w:vAlign w:val="top"/>
          </w:tcPr>
          <w:p>
            <w:r>
              <w:rPr>
                <w:b/>
              </w:rPr>
              <w:t>Route / location</w:t>
            </w:r>
          </w:p>
        </w:tc>
        <w:tc>
          <w:tcPr>
            <w:tcW w:type="dxa" w:w="4896"/>
            <w:shd w:fill="E8EEF5"/>
            <w:vAlign w:val="top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232"/>
            <w:vAlign w:val="top"/>
          </w:tcPr>
          <w:p>
            <w:r>
              <w:t>MainLayout</w:t>
            </w:r>
          </w:p>
        </w:tc>
        <w:tc>
          <w:tcPr>
            <w:tcW w:type="dxa" w:w="2088"/>
            <w:vAlign w:val="top"/>
          </w:tcPr>
          <w:p>
            <w:r>
              <w:t>Components/Layout</w:t>
            </w:r>
          </w:p>
        </w:tc>
        <w:tc>
          <w:tcPr>
            <w:tcW w:type="dxa" w:w="4896"/>
            <w:vAlign w:val="top"/>
          </w:tcPr>
          <w:p>
            <w:r>
              <w:t>Provides sidebar navigation for Home, Legal Holds, and Legal Holds V2; hosts RadzenComponents for dialogs.</w:t>
            </w:r>
          </w:p>
        </w:tc>
      </w:tr>
      <w:tr>
        <w:tc>
          <w:tcPr>
            <w:tcW w:type="dxa" w:w="2232"/>
            <w:vAlign w:val="top"/>
          </w:tcPr>
          <w:p>
            <w:r>
              <w:t>LegalHolds</w:t>
            </w:r>
          </w:p>
        </w:tc>
        <w:tc>
          <w:tcPr>
            <w:tcW w:type="dxa" w:w="2088"/>
            <w:vAlign w:val="top"/>
          </w:tcPr>
          <w:p>
            <w:r>
              <w:t>/legal-holds</w:t>
            </w:r>
          </w:p>
        </w:tc>
        <w:tc>
          <w:tcPr>
            <w:tcW w:type="dxa" w:w="4896"/>
            <w:vAlign w:val="top"/>
          </w:tcPr>
          <w:p>
            <w:r>
              <w:t>Original workflow. Hosts legal-hold search, customer search, and an inline legal-hold detail form.</w:t>
            </w:r>
          </w:p>
        </w:tc>
      </w:tr>
      <w:tr>
        <w:tc>
          <w:tcPr>
            <w:tcW w:type="dxa" w:w="2232"/>
            <w:vAlign w:val="top"/>
          </w:tcPr>
          <w:p>
            <w:r>
              <w:t>LegalHoldSearch</w:t>
            </w:r>
          </w:p>
        </w:tc>
        <w:tc>
          <w:tcPr>
            <w:tcW w:type="dxa" w:w="2088"/>
            <w:vAlign w:val="top"/>
          </w:tcPr>
          <w:p>
            <w:r>
              <w:t>Components/LegalHolds</w:t>
            </w:r>
          </w:p>
        </w:tc>
        <w:tc>
          <w:tcPr>
            <w:tcW w:type="dxa" w:w="4896"/>
            <w:vAlign w:val="top"/>
          </w:tcPr>
          <w:p>
            <w:r>
              <w:t>Searches legal holds by account/access/name filters and displays results in a RadzenDataGrid.</w:t>
            </w:r>
          </w:p>
        </w:tc>
      </w:tr>
      <w:tr>
        <w:tc>
          <w:tcPr>
            <w:tcW w:type="dxa" w:w="2232"/>
            <w:vAlign w:val="top"/>
          </w:tcPr>
          <w:p>
            <w:r>
              <w:t>CustomerSearch</w:t>
            </w:r>
          </w:p>
        </w:tc>
        <w:tc>
          <w:tcPr>
            <w:tcW w:type="dxa" w:w="2088"/>
            <w:vAlign w:val="top"/>
          </w:tcPr>
          <w:p>
            <w:r>
              <w:t>Components/LegalHolds</w:t>
            </w:r>
          </w:p>
        </w:tc>
        <w:tc>
          <w:tcPr>
            <w:tcW w:type="dxa" w:w="4896"/>
            <w:vAlign w:val="top"/>
          </w:tcPr>
          <w:p>
            <w:r>
              <w:t>Searches customer records, validates at least one filter, logs count and first result, then displays a RadzenDataGrid.</w:t>
            </w:r>
          </w:p>
        </w:tc>
      </w:tr>
      <w:tr>
        <w:tc>
          <w:tcPr>
            <w:tcW w:type="dxa" w:w="2232"/>
            <w:vAlign w:val="top"/>
          </w:tcPr>
          <w:p>
            <w:r>
              <w:t>LegalHoldsV2</w:t>
            </w:r>
          </w:p>
        </w:tc>
        <w:tc>
          <w:tcPr>
            <w:tcW w:type="dxa" w:w="2088"/>
            <w:vAlign w:val="top"/>
          </w:tcPr>
          <w:p>
            <w:r>
              <w:t>/legal-holds-v2</w:t>
            </w:r>
          </w:p>
        </w:tc>
        <w:tc>
          <w:tcPr>
            <w:tcW w:type="dxa" w:w="4896"/>
            <w:vAlign w:val="top"/>
          </w:tcPr>
          <w:p>
            <w:r>
              <w:t>Team-demo workflow. Hosts V2 search, customer search, and a local RadzenComponents host for modal dialogs.</w:t>
            </w:r>
          </w:p>
        </w:tc>
      </w:tr>
      <w:tr>
        <w:tc>
          <w:tcPr>
            <w:tcW w:type="dxa" w:w="2232"/>
            <w:vAlign w:val="top"/>
          </w:tcPr>
          <w:p>
            <w:r>
              <w:t>LegalHoldSearchV2</w:t>
            </w:r>
          </w:p>
        </w:tc>
        <w:tc>
          <w:tcPr>
            <w:tcW w:type="dxa" w:w="2088"/>
            <w:vAlign w:val="top"/>
          </w:tcPr>
          <w:p>
            <w:r>
              <w:t>Components/LegalHoldsV2</w:t>
            </w:r>
          </w:p>
        </w:tc>
        <w:tc>
          <w:tcPr>
            <w:tcW w:type="dxa" w:w="4896"/>
            <w:vAlign w:val="top"/>
          </w:tcPr>
          <w:p>
            <w:r>
              <w:t>Adds Create Legal Hold and Detail / Edit actions. Uses Radzen dialog flow for insert/update.</w:t>
            </w:r>
          </w:p>
        </w:tc>
      </w:tr>
      <w:tr>
        <w:tc>
          <w:tcPr>
            <w:tcW w:type="dxa" w:w="2232"/>
            <w:vAlign w:val="top"/>
          </w:tcPr>
          <w:p>
            <w:r>
              <w:t>LegalHoldEditDialog</w:t>
            </w:r>
          </w:p>
        </w:tc>
        <w:tc>
          <w:tcPr>
            <w:tcW w:type="dxa" w:w="2088"/>
            <w:vAlign w:val="top"/>
          </w:tcPr>
          <w:p>
            <w:r>
              <w:t>Components/LegalHoldsV2</w:t>
            </w:r>
          </w:p>
        </w:tc>
        <w:tc>
          <w:tcPr>
            <w:tcW w:type="dxa" w:w="4896"/>
            <w:vAlign w:val="top"/>
          </w:tcPr>
          <w:p>
            <w:r>
              <w:t>Modal edit form used by V2 for both create and update operations.</w:t>
            </w:r>
          </w:p>
        </w:tc>
      </w:tr>
    </w:tbl>
    <w:p>
      <w:pPr>
        <w:pStyle w:val="Heading1"/>
      </w:pPr>
      <w:r>
        <w:t>Data Contracts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E8EEF5"/>
            <w:vAlign w:val="top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600"/>
            <w:shd w:fill="E8EEF5"/>
            <w:vAlign w:val="top"/>
          </w:tcPr>
          <w:p>
            <w:r>
              <w:rPr>
                <w:b/>
              </w:rPr>
              <w:t>Fields</w:t>
            </w:r>
          </w:p>
        </w:tc>
        <w:tc>
          <w:tcPr>
            <w:tcW w:type="dxa" w:w="3384"/>
            <w:shd w:fill="E8EEF5"/>
            <w:vAlign w:val="top"/>
          </w:tcPr>
          <w:p>
            <w:r>
              <w:rPr>
                <w:b/>
              </w:rPr>
              <w:t>Business meaning</w:t>
            </w:r>
          </w:p>
        </w:tc>
      </w:tr>
      <w:tr>
        <w:tc>
          <w:tcPr>
            <w:tcW w:type="dxa" w:w="2232"/>
            <w:vAlign w:val="top"/>
          </w:tcPr>
          <w:p>
            <w:r>
              <w:t>LegalHoldSearchRequest</w:t>
            </w:r>
          </w:p>
        </w:tc>
        <w:tc>
          <w:tcPr>
            <w:tcW w:type="dxa" w:w="3600"/>
            <w:vAlign w:val="top"/>
          </w:tcPr>
          <w:p>
            <w:r>
              <w:t>AccountNumber, AccessNumber, FirstName, LastName</w:t>
            </w:r>
          </w:p>
        </w:tc>
        <w:tc>
          <w:tcPr>
            <w:tcW w:type="dxa" w:w="3384"/>
            <w:vAlign w:val="top"/>
          </w:tcPr>
          <w:p>
            <w:r>
              <w:t>Search filters accepted in any combination by the search stored procedures.</w:t>
            </w:r>
          </w:p>
        </w:tc>
      </w:tr>
      <w:tr>
        <w:tc>
          <w:tcPr>
            <w:tcW w:type="dxa" w:w="2232"/>
            <w:vAlign w:val="top"/>
          </w:tcPr>
          <w:p>
            <w:r>
              <w:t>LegalHoldResult</w:t>
            </w:r>
          </w:p>
        </w:tc>
        <w:tc>
          <w:tcPr>
            <w:tcW w:type="dxa" w:w="3600"/>
            <w:vAlign w:val="top"/>
          </w:tcPr>
          <w:p>
            <w:r>
              <w:t>ID, CustomerID, customer name parts, AccessNumber, AccountNumber, LegalHoldName, StartDate, EndDate, Active, DateCreated, UserInserted</w:t>
            </w:r>
          </w:p>
        </w:tc>
        <w:tc>
          <w:tcPr>
            <w:tcW w:type="dxa" w:w="3384"/>
            <w:vAlign w:val="top"/>
          </w:tcPr>
          <w:p>
            <w:r>
              <w:t>Read model returned by legal-hold search and selected for editing.</w:t>
            </w:r>
          </w:p>
        </w:tc>
      </w:tr>
      <w:tr>
        <w:tc>
          <w:tcPr>
            <w:tcW w:type="dxa" w:w="2232"/>
            <w:vAlign w:val="top"/>
          </w:tcPr>
          <w:p>
            <w:r>
              <w:t>CustomerSearchResult</w:t>
            </w:r>
          </w:p>
        </w:tc>
        <w:tc>
          <w:tcPr>
            <w:tcW w:type="dxa" w:w="3600"/>
            <w:vAlign w:val="top"/>
          </w:tcPr>
          <w:p>
            <w:r>
              <w:t>CustomerID, customer name parts, AccessNumber, AccountNumber, SocialSecurityNumber</w:t>
            </w:r>
          </w:p>
        </w:tc>
        <w:tc>
          <w:tcPr>
            <w:tcW w:type="dxa" w:w="3384"/>
            <w:vAlign w:val="top"/>
          </w:tcPr>
          <w:p>
            <w:r>
              <w:t>Read model returned by customer search.</w:t>
            </w:r>
          </w:p>
        </w:tc>
      </w:tr>
      <w:tr>
        <w:tc>
          <w:tcPr>
            <w:tcW w:type="dxa" w:w="2232"/>
            <w:vAlign w:val="top"/>
          </w:tcPr>
          <w:p>
            <w:r>
              <w:t>LegalHoldEditModel</w:t>
            </w:r>
          </w:p>
        </w:tc>
        <w:tc>
          <w:tcPr>
            <w:tcW w:type="dxa" w:w="3600"/>
            <w:vAlign w:val="top"/>
          </w:tcPr>
          <w:p>
            <w:r>
              <w:t>Nullable ID, AccessNumber, Name, StartDate, EndDate, Active</w:t>
            </w:r>
          </w:p>
        </w:tc>
        <w:tc>
          <w:tcPr>
            <w:tcW w:type="dxa" w:w="3384"/>
            <w:vAlign w:val="top"/>
          </w:tcPr>
          <w:p>
            <w:r>
              <w:t>Write model passed to INS_UPD_EJLegalHold. IsInsert is true when ID is missing or non-positive.</w:t>
            </w:r>
          </w:p>
        </w:tc>
      </w:tr>
    </w:tbl>
    <w:p>
      <w:pPr>
        <w:pStyle w:val="Heading1"/>
      </w:pPr>
      <w:r>
        <w:t>Repository and Stored Procedure Boundary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20"/>
            <w:shd w:fill="E8EEF5"/>
            <w:vAlign w:val="top"/>
          </w:tcPr>
          <w:p>
            <w:r>
              <w:rPr>
                <w:b/>
              </w:rPr>
              <w:t>Repository method</w:t>
            </w:r>
          </w:p>
        </w:tc>
        <w:tc>
          <w:tcPr>
            <w:tcW w:type="dxa" w:w="3168"/>
            <w:shd w:fill="E8EEF5"/>
            <w:vAlign w:val="top"/>
          </w:tcPr>
          <w:p>
            <w:r>
              <w:rPr>
                <w:b/>
              </w:rPr>
              <w:t>Stored procedure</w:t>
            </w:r>
          </w:p>
        </w:tc>
        <w:tc>
          <w:tcPr>
            <w:tcW w:type="dxa" w:w="3528"/>
            <w:shd w:fill="E8EEF5"/>
            <w:vAlign w:val="top"/>
          </w:tcPr>
          <w:p>
            <w:r>
              <w:rPr>
                <w:b/>
              </w:rPr>
              <w:t>Input parameters</w:t>
            </w:r>
          </w:p>
        </w:tc>
      </w:tr>
      <w:tr>
        <w:tc>
          <w:tcPr>
            <w:tcW w:type="dxa" w:w="2520"/>
            <w:vAlign w:val="top"/>
          </w:tcPr>
          <w:p>
            <w:r>
              <w:t>SearchLegalHoldsAsync</w:t>
            </w:r>
          </w:p>
        </w:tc>
        <w:tc>
          <w:tcPr>
            <w:tcW w:type="dxa" w:w="3168"/>
            <w:vAlign w:val="top"/>
          </w:tcPr>
          <w:p>
            <w:r>
              <w:t>dbo.Search_EJLegalHold</w:t>
            </w:r>
          </w:p>
        </w:tc>
        <w:tc>
          <w:tcPr>
            <w:tcW w:type="dxa" w:w="3528"/>
            <w:vAlign w:val="top"/>
          </w:tcPr>
          <w:p>
            <w:r>
              <w:t>@AccountNo, @HostCIFKey, @FirstName, @LastName</w:t>
            </w:r>
          </w:p>
        </w:tc>
      </w:tr>
      <w:tr>
        <w:tc>
          <w:tcPr>
            <w:tcW w:type="dxa" w:w="2520"/>
            <w:vAlign w:val="top"/>
          </w:tcPr>
          <w:p>
            <w:r>
              <w:t>SearchCustomersAsync</w:t>
            </w:r>
          </w:p>
        </w:tc>
        <w:tc>
          <w:tcPr>
            <w:tcW w:type="dxa" w:w="3168"/>
            <w:vAlign w:val="top"/>
          </w:tcPr>
          <w:p>
            <w:r>
              <w:t>dbo.Search_EJLegalHold_Customers</w:t>
            </w:r>
          </w:p>
        </w:tc>
        <w:tc>
          <w:tcPr>
            <w:tcW w:type="dxa" w:w="3528"/>
            <w:vAlign w:val="top"/>
          </w:tcPr>
          <w:p>
            <w:r>
              <w:t>@AccountNo, @HostCIFKey, @FirstName, @LastName</w:t>
            </w:r>
          </w:p>
        </w:tc>
      </w:tr>
      <w:tr>
        <w:tc>
          <w:tcPr>
            <w:tcW w:type="dxa" w:w="2520"/>
            <w:vAlign w:val="top"/>
          </w:tcPr>
          <w:p>
            <w:r>
              <w:t>SaveLegalHoldAsync</w:t>
            </w:r>
          </w:p>
        </w:tc>
        <w:tc>
          <w:tcPr>
            <w:tcW w:type="dxa" w:w="3168"/>
            <w:vAlign w:val="top"/>
          </w:tcPr>
          <w:p>
            <w:r>
              <w:t>dbo.INS_UPD_EJLegalHold</w:t>
            </w:r>
          </w:p>
        </w:tc>
        <w:tc>
          <w:tcPr>
            <w:tcW w:type="dxa" w:w="3528"/>
            <w:vAlign w:val="top"/>
          </w:tcPr>
          <w:p>
            <w:r>
              <w:t>@IsInsert, @AccessNo, @Name, @StartDate, @EndDate, @Active, @ID</w:t>
            </w:r>
          </w:p>
        </w:tc>
      </w:tr>
    </w:tbl>
    <w:p>
      <w:r>
        <w:t>The repository is intentionally thin: it resolves procedure names from configuration, opens a SQL connection, adds typed parameters, executes the stored procedure, and maps returned column names into nullable model properties.</w:t>
      </w:r>
    </w:p>
    <w:p>
      <w:pPr>
        <w:pStyle w:val="Heading1"/>
      </w:pPr>
      <w:r>
        <w:t>Database Shape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shd w:fill="E8EEF5"/>
            <w:vAlign w:val="top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3528"/>
            <w:shd w:fill="E8EEF5"/>
            <w:vAlign w:val="top"/>
          </w:tcPr>
          <w:p>
            <w:r>
              <w:rPr>
                <w:b/>
              </w:rPr>
              <w:t>Role in the app</w:t>
            </w:r>
          </w:p>
        </w:tc>
        <w:tc>
          <w:tcPr>
            <w:tcW w:type="dxa" w:w="3528"/>
            <w:shd w:fill="E8EEF5"/>
            <w:vAlign w:val="top"/>
          </w:tcPr>
          <w:p>
            <w:r>
              <w:rPr>
                <w:b/>
              </w:rPr>
              <w:t>Important fields</w:t>
            </w:r>
          </w:p>
        </w:tc>
      </w:tr>
      <w:tr>
        <w:tc>
          <w:tcPr>
            <w:tcW w:type="dxa" w:w="2160"/>
            <w:vAlign w:val="top"/>
          </w:tcPr>
          <w:p>
            <w:r>
              <w:t>tblCustomers</w:t>
            </w:r>
          </w:p>
        </w:tc>
        <w:tc>
          <w:tcPr>
            <w:tcW w:type="dxa" w:w="3528"/>
            <w:vAlign w:val="top"/>
          </w:tcPr>
          <w:p>
            <w:r>
              <w:t>Customer source table used by search procedures.</w:t>
            </w:r>
          </w:p>
        </w:tc>
        <w:tc>
          <w:tcPr>
            <w:tcW w:type="dxa" w:w="3528"/>
            <w:vAlign w:val="top"/>
          </w:tcPr>
          <w:p>
            <w:r>
              <w:t>CustomerID, FirstName, MiddleName, LastName, SSNTIN, HostCIFKey, EmailAddress</w:t>
            </w:r>
          </w:p>
        </w:tc>
      </w:tr>
      <w:tr>
        <w:tc>
          <w:tcPr>
            <w:tcW w:type="dxa" w:w="2160"/>
            <w:vAlign w:val="top"/>
          </w:tcPr>
          <w:p>
            <w:r>
              <w:t>AccountRelations</w:t>
            </w:r>
          </w:p>
        </w:tc>
        <w:tc>
          <w:tcPr>
            <w:tcW w:type="dxa" w:w="3528"/>
            <w:vAlign w:val="top"/>
          </w:tcPr>
          <w:p>
            <w:r>
              <w:t>Account relationship table used to connect customers to accounts.</w:t>
            </w:r>
          </w:p>
        </w:tc>
        <w:tc>
          <w:tcPr>
            <w:tcW w:type="dxa" w:w="3528"/>
            <w:vAlign w:val="top"/>
          </w:tcPr>
          <w:p>
            <w:r>
              <w:t>AccountNumber, CustomerID, AccountType, Status, Relationship</w:t>
            </w:r>
          </w:p>
        </w:tc>
      </w:tr>
      <w:tr>
        <w:tc>
          <w:tcPr>
            <w:tcW w:type="dxa" w:w="2160"/>
            <w:vAlign w:val="top"/>
          </w:tcPr>
          <w:p>
            <w:r>
              <w:t>EJLegalHold</w:t>
            </w:r>
          </w:p>
        </w:tc>
        <w:tc>
          <w:tcPr>
            <w:tcW w:type="dxa" w:w="3528"/>
            <w:vAlign w:val="top"/>
          </w:tcPr>
          <w:p>
            <w:r>
              <w:t>Legal hold table used for legal-hold search and insert/update.</w:t>
            </w:r>
          </w:p>
        </w:tc>
        <w:tc>
          <w:tcPr>
            <w:tcW w:type="dxa" w:w="3528"/>
            <w:vAlign w:val="top"/>
          </w:tcPr>
          <w:p>
            <w:r>
              <w:t>ID, AccessNo, Name, StartDate, EndDate, Active, DateCreated, UserInserted</w:t>
            </w:r>
          </w:p>
        </w:tc>
      </w:tr>
    </w:tbl>
    <w:p>
      <w:pPr>
        <w:pStyle w:val="Heading1"/>
      </w:pPr>
      <w:r>
        <w:t>Business Rules</w:t>
      </w:r>
    </w:p>
    <w:p>
      <w:pPr>
        <w:pStyle w:val="ListBullet"/>
      </w:pPr>
      <w:r>
        <w:t>Legal hold and customer searches use account number, access number, first name, last name, or any combination of those values.</w:t>
      </w:r>
    </w:p>
    <w:p>
      <w:pPr>
        <w:pStyle w:val="ListBullet"/>
      </w:pPr>
      <w:r>
        <w:t>Customer search requires at least one search value before it calls the customer stored procedure.</w:t>
      </w:r>
    </w:p>
    <w:p>
      <w:pPr>
        <w:pStyle w:val="ListBullet"/>
      </w:pPr>
      <w:r>
        <w:t>Legal-hold create/update requires Access Number and Hold Name.</w:t>
      </w:r>
    </w:p>
    <w:p>
      <w:pPr>
        <w:pStyle w:val="ListBullet"/>
      </w:pPr>
      <w:r>
        <w:t>Access Number and Hold Name are limited to 30 characters by LegalHoldEditModel.</w:t>
      </w:r>
    </w:p>
    <w:p>
      <w:pPr>
        <w:pStyle w:val="ListBullet"/>
      </w:pPr>
      <w:r>
        <w:t>A legal hold is treated as an insert when ID is missing or less than or equal to zero.</w:t>
      </w:r>
    </w:p>
    <w:p>
      <w:pPr>
        <w:pStyle w:val="ListBullet"/>
      </w:pPr>
      <w:r>
        <w:t>ReadOnlyMode disables create/update/end actions in the UI and also blocks SaveLegalHoldAsync in the repository.</w:t>
      </w:r>
    </w:p>
    <w:p>
      <w:pPr>
        <w:pStyle w:val="ListBullet"/>
      </w:pPr>
      <w:r>
        <w:t>The original page supports End Hold by asking for confirmation, setting Active to false, and defaulting EndDate to today when it is blank.</w:t>
      </w:r>
    </w:p>
    <w:p>
      <w:pPr>
        <w:pStyle w:val="ListBullet"/>
      </w:pPr>
      <w:r>
        <w:t>V2 keeps search results visible while create/edit happens in a Radzen modal dialog.</w:t>
      </w:r>
    </w:p>
    <w:p>
      <w:pPr>
        <w:pStyle w:val="ListBullet"/>
      </w:pPr>
      <w:r>
        <w:t>V2 row selection is separate from editing: select a row, then click Detail / Edit to open the modal.</w:t>
      </w:r>
    </w:p>
    <w:p>
      <w:pPr>
        <w:pStyle w:val="Heading1"/>
      </w:pPr>
      <w:r>
        <w:t>Primary Workflows</w:t>
      </w:r>
    </w:p>
    <w:p>
      <w:pPr>
        <w:pStyle w:val="Heading2"/>
      </w:pPr>
      <w:r>
        <w:t>Search Legal Holds</w:t>
      </w:r>
    </w:p>
    <w:p>
      <w:pPr>
        <w:pStyle w:val="ListNumber"/>
      </w:pPr>
      <w:r>
        <w:t>User enters one or more filters in the Legal Hold Search panel.</w:t>
      </w:r>
    </w:p>
    <w:p>
      <w:pPr>
        <w:pStyle w:val="ListNumber"/>
      </w:pPr>
      <w:r>
        <w:t>Component calls Repository.SearchLegalHoldsAsync with LegalHoldSearchRequest.</w:t>
      </w:r>
    </w:p>
    <w:p>
      <w:pPr>
        <w:pStyle w:val="ListNumber"/>
      </w:pPr>
      <w:r>
        <w:t>Repository executes dbo.Search_EJLegalHold using the configured connection string.</w:t>
      </w:r>
    </w:p>
    <w:p>
      <w:pPr>
        <w:pStyle w:val="ListNumber"/>
      </w:pPr>
      <w:r>
        <w:t>Results are mapped into LegalHoldResult and displayed in a RadzenDataGrid.</w:t>
      </w:r>
    </w:p>
    <w:p>
      <w:pPr>
        <w:pStyle w:val="ListNumber"/>
      </w:pPr>
      <w:r>
        <w:t>Selecting a row notifies the parent component or enables the V2 Detail / Edit action.</w:t>
      </w:r>
    </w:p>
    <w:p>
      <w:pPr>
        <w:pStyle w:val="Heading2"/>
      </w:pPr>
      <w:r>
        <w:t>Create or Update Legal Hold</w:t>
      </w:r>
    </w:p>
    <w:p>
      <w:pPr>
        <w:pStyle w:val="ListNumber"/>
      </w:pPr>
      <w:r>
        <w:t>V1 edits in the inline Legal Hold Detail section below the search components.</w:t>
      </w:r>
    </w:p>
    <w:p>
      <w:pPr>
        <w:pStyle w:val="ListNumber"/>
      </w:pPr>
      <w:r>
        <w:t>V2 opens LegalHoldEditDialog for Create Legal Hold or Detail / Edit.</w:t>
      </w:r>
    </w:p>
    <w:p>
      <w:pPr>
        <w:pStyle w:val="ListNumber"/>
      </w:pPr>
      <w:r>
        <w:t>The edit model validates required Access Number and Hold Name.</w:t>
      </w:r>
    </w:p>
    <w:p>
      <w:pPr>
        <w:pStyle w:val="ListNumber"/>
      </w:pPr>
      <w:r>
        <w:t>Repository.SaveLegalHoldAsync checks ReadOnlyMode before calling dbo.INS_UPD_EJLegalHold.</w:t>
      </w:r>
    </w:p>
    <w:p>
      <w:pPr>
        <w:pStyle w:val="ListNumber"/>
      </w:pPr>
      <w:r>
        <w:t>After a successful save, the legal-hold grid refreshes and a success message is shown.</w:t>
      </w:r>
    </w:p>
    <w:p>
      <w:pPr>
        <w:pStyle w:val="Heading1"/>
      </w:pPr>
      <w:r>
        <w:t>Operational Notes and Risks</w:t>
      </w:r>
    </w:p>
    <w:p>
      <w:pPr>
        <w:pStyle w:val="ListBullet"/>
      </w:pPr>
      <w:r>
        <w:t>The current development connection string points to (localdb)\MSSQLLocalDB and database LegalHoldAdmin_DEV.</w:t>
      </w:r>
    </w:p>
    <w:p>
      <w:pPr>
        <w:pStyle w:val="ListBullet"/>
      </w:pPr>
      <w:r>
        <w:t>The production/unit EncoreUnit connection string is commented out in appsettings.json, which is safer for local testing.</w:t>
      </w:r>
    </w:p>
    <w:p>
      <w:pPr>
        <w:pStyle w:val="ListBullet"/>
      </w:pPr>
      <w:r>
        <w:t>ReadOnlyMode is currently false in the local configuration, so create/update calls are enabled.</w:t>
      </w:r>
    </w:p>
    <w:p>
      <w:pPr>
        <w:pStyle w:val="ListBullet"/>
      </w:pPr>
      <w:r>
        <w:t>Stored procedure parameter names are centralized in LegalHoldRepository. If the real database differs, adjust the four search parameter names there.</w:t>
      </w:r>
    </w:p>
    <w:p>
      <w:pPr>
        <w:pStyle w:val="ListBullet"/>
      </w:pPr>
      <w:r>
        <w:t>No authentication or role-based authorization is visible in the current solution. Add it before broader deployment.</w:t>
      </w:r>
    </w:p>
    <w:p>
      <w:pPr>
        <w:pStyle w:val="ListBullet"/>
      </w:pPr>
      <w:r>
        <w:t>There is no EF Core migration layer; database schema and stored procedures are managed outside the app.</w:t>
      </w:r>
    </w:p>
    <w:p>
      <w:pPr>
        <w:pStyle w:val="ListBullet"/>
      </w:pPr>
      <w:r>
        <w:t>The app relies on Radzen static assets and RadzenComponents hosts for grid/dialog behavior.</w:t>
      </w:r>
    </w:p>
    <w:p>
      <w:pPr>
        <w:pStyle w:val="Heading1"/>
      </w:pPr>
      <w:r>
        <w:t>Team Demo Talking Points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shd w:fill="E8EEF5"/>
            <w:vAlign w:val="top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3600"/>
            <w:shd w:fill="E8EEF5"/>
            <w:vAlign w:val="top"/>
          </w:tcPr>
          <w:p>
            <w:r>
              <w:rPr>
                <w:b/>
              </w:rPr>
              <w:t>V1</w:t>
            </w:r>
          </w:p>
        </w:tc>
        <w:tc>
          <w:tcPr>
            <w:tcW w:type="dxa" w:w="3600"/>
            <w:shd w:fill="E8EEF5"/>
            <w:vAlign w:val="top"/>
          </w:tcPr>
          <w:p>
            <w:r>
              <w:rPr>
                <w:b/>
              </w:rPr>
              <w:t>V2</w:t>
            </w:r>
          </w:p>
        </w:tc>
      </w:tr>
      <w:tr>
        <w:tc>
          <w:tcPr>
            <w:tcW w:type="dxa" w:w="2016"/>
            <w:vAlign w:val="top"/>
          </w:tcPr>
          <w:p>
            <w:r>
              <w:t>Editing surface</w:t>
            </w:r>
          </w:p>
        </w:tc>
        <w:tc>
          <w:tcPr>
            <w:tcW w:type="dxa" w:w="3600"/>
            <w:vAlign w:val="top"/>
          </w:tcPr>
          <w:p>
            <w:r>
              <w:t>Inline form stays visible below search.</w:t>
            </w:r>
          </w:p>
        </w:tc>
        <w:tc>
          <w:tcPr>
            <w:tcW w:type="dxa" w:w="3600"/>
            <w:vAlign w:val="top"/>
          </w:tcPr>
          <w:p>
            <w:r>
              <w:t>Modal dialog focuses the user on create/update.</w:t>
            </w:r>
          </w:p>
        </w:tc>
      </w:tr>
      <w:tr>
        <w:tc>
          <w:tcPr>
            <w:tcW w:type="dxa" w:w="2016"/>
            <w:vAlign w:val="top"/>
          </w:tcPr>
          <w:p>
            <w:r>
              <w:t>Comparison goal</w:t>
            </w:r>
          </w:p>
        </w:tc>
        <w:tc>
          <w:tcPr>
            <w:tcW w:type="dxa" w:w="3600"/>
            <w:vAlign w:val="top"/>
          </w:tcPr>
          <w:p>
            <w:r>
              <w:t>Shows baseline implementation.</w:t>
            </w:r>
          </w:p>
        </w:tc>
        <w:tc>
          <w:tcPr>
            <w:tcW w:type="dxa" w:w="3600"/>
            <w:vAlign w:val="top"/>
          </w:tcPr>
          <w:p>
            <w:r>
              <w:t>Shows proposed interaction model for team feedback.</w:t>
            </w:r>
          </w:p>
        </w:tc>
      </w:tr>
      <w:tr>
        <w:tc>
          <w:tcPr>
            <w:tcW w:type="dxa" w:w="2016"/>
            <w:vAlign w:val="top"/>
          </w:tcPr>
          <w:p>
            <w:r>
              <w:t>Search results</w:t>
            </w:r>
          </w:p>
        </w:tc>
        <w:tc>
          <w:tcPr>
            <w:tcW w:type="dxa" w:w="3600"/>
            <w:vAlign w:val="top"/>
          </w:tcPr>
          <w:p>
            <w:r>
              <w:t>RadzenDataGrid with paging/sorting.</w:t>
            </w:r>
          </w:p>
        </w:tc>
        <w:tc>
          <w:tcPr>
            <w:tcW w:type="dxa" w:w="3600"/>
            <w:vAlign w:val="top"/>
          </w:tcPr>
          <w:p>
            <w:r>
              <w:t>Same grid behavior, with explicit Detail / Edit action.</w:t>
            </w:r>
          </w:p>
        </w:tc>
      </w:tr>
      <w:tr>
        <w:tc>
          <w:tcPr>
            <w:tcW w:type="dxa" w:w="2016"/>
            <w:vAlign w:val="top"/>
          </w:tcPr>
          <w:p>
            <w:r>
              <w:t>Cleanup</w:t>
            </w:r>
          </w:p>
        </w:tc>
        <w:tc>
          <w:tcPr>
            <w:tcW w:type="dxa" w:w="3600"/>
            <w:vAlign w:val="top"/>
          </w:tcPr>
          <w:p>
            <w:r>
              <w:t>Core app folder remains in place.</w:t>
            </w:r>
          </w:p>
        </w:tc>
        <w:tc>
          <w:tcPr>
            <w:tcW w:type="dxa" w:w="3600"/>
            <w:vAlign w:val="top"/>
          </w:tcPr>
          <w:p>
            <w:r>
              <w:t>V2 is isolated under Components/LegalHoldsV2 and can be removed later.</w:t>
            </w:r>
          </w:p>
        </w:tc>
      </w:tr>
    </w:tbl>
    <w:p>
      <w:pPr>
        <w:pStyle w:val="Heading1"/>
      </w:pPr>
      <w:r>
        <w:t>Recommended Next Steps</w:t>
      </w:r>
    </w:p>
    <w:p>
      <w:pPr>
        <w:pStyle w:val="ListBullet"/>
      </w:pPr>
      <w:r>
        <w:t>Confirm stored procedure parameter names and returned column names against the work database.</w:t>
      </w:r>
    </w:p>
    <w:p>
      <w:pPr>
        <w:pStyle w:val="ListBullet"/>
      </w:pPr>
      <w:r>
        <w:t>Decide whether V2 should replace V1 after team review or remain as an optional route during rollout.</w:t>
      </w:r>
    </w:p>
    <w:p>
      <w:pPr>
        <w:pStyle w:val="ListBullet"/>
      </w:pPr>
      <w:r>
        <w:t>Add authentication/authorization rules if the app will run outside a trusted local environment.</w:t>
      </w:r>
    </w:p>
    <w:p>
      <w:pPr>
        <w:pStyle w:val="ListBullet"/>
      </w:pPr>
      <w:r>
        <w:t>Add lightweight integration tests around repository parameter mapping and ReadOnlyMode behavior.</w:t>
      </w:r>
    </w:p>
    <w:p>
      <w:pPr>
        <w:pStyle w:val="ListBullet"/>
      </w:pPr>
      <w:r>
        <w:t>Consider replacing browser confirm in V1 End Hold with a Radzen confirmation dialog if V2 is accepted.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LegalHoldAdmin system design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