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E2A" w:rsidRPr="00683FBA" w:rsidRDefault="00B51E2A" w:rsidP="00B51E2A">
      <w:pPr>
        <w:pStyle w:val="BodyText2"/>
        <w:spacing w:after="200" w:line="240" w:lineRule="auto"/>
        <w:ind w:left="2552" w:hanging="2013"/>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25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CONDUCT AND EVALUATION OF EXAMINATIONS FOR WEEKEND PROGRAMME LEADING TO ALL BACHELOR’S/ MASTER’S DEGREES &amp; UNDER-GRADUATE/ POST-GRADUATE DIPLOMAS FOLLOWING SEMESTER SYSTEM</w:t>
      </w:r>
    </w:p>
    <w:p w:rsidR="00B51E2A" w:rsidRPr="00683FBA" w:rsidRDefault="00B51E2A" w:rsidP="00B51E2A">
      <w:pPr>
        <w:pStyle w:val="BodyTextIndent2"/>
        <w:spacing w:after="200" w:line="240" w:lineRule="auto"/>
        <w:ind w:left="539"/>
        <w:jc w:val="both"/>
        <w:rPr>
          <w:rFonts w:ascii="Times New Roman" w:hAnsi="Times New Roman" w:cs="Times New Roman"/>
          <w:sz w:val="24"/>
          <w:szCs w:val="24"/>
        </w:rPr>
      </w:pPr>
      <w:r w:rsidRPr="00683FBA">
        <w:rPr>
          <w:rFonts w:ascii="Times New Roman" w:hAnsi="Times New Roman" w:cs="Times New Roman"/>
          <w:b/>
          <w:bCs/>
          <w:sz w:val="24"/>
          <w:szCs w:val="24"/>
        </w:rPr>
        <w:t xml:space="preserve">APPLICABILITY: </w:t>
      </w:r>
      <w:r w:rsidRPr="00683FBA">
        <w:rPr>
          <w:rFonts w:ascii="Times New Roman" w:hAnsi="Times New Roman" w:cs="Times New Roman"/>
          <w:b/>
          <w:bCs/>
          <w:sz w:val="24"/>
          <w:szCs w:val="24"/>
        </w:rPr>
        <w:tab/>
      </w:r>
      <w:r w:rsidRPr="00683FBA">
        <w:rPr>
          <w:rFonts w:ascii="Times New Roman" w:hAnsi="Times New Roman" w:cs="Times New Roman"/>
          <w:sz w:val="24"/>
          <w:szCs w:val="24"/>
        </w:rPr>
        <w:t>This ordinance shall apply to all weekend programmes leading to all Bachelor’s / Master’s degrees and Under-graduate / Post –graduate diplomas following semester system [other than programmes for which separate Ordinance is notified]</w:t>
      </w:r>
    </w:p>
    <w:p w:rsidR="00B51E2A" w:rsidRPr="00683FBA" w:rsidRDefault="00B51E2A" w:rsidP="00B51E2A">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w:t>
      </w:r>
      <w:r w:rsidRPr="00683FBA">
        <w:rPr>
          <w:rFonts w:ascii="Times New Roman" w:hAnsi="Times New Roman" w:cs="Times New Roman"/>
          <w:b/>
          <w:bCs/>
          <w:sz w:val="24"/>
          <w:szCs w:val="24"/>
        </w:rPr>
        <w:t>1.</w:t>
      </w:r>
      <w:r w:rsidRPr="00683FBA">
        <w:rPr>
          <w:rFonts w:ascii="Times New Roman" w:hAnsi="Times New Roman" w:cs="Times New Roman"/>
          <w:b/>
          <w:bCs/>
          <w:sz w:val="24"/>
          <w:szCs w:val="24"/>
        </w:rPr>
        <w:tab/>
        <w:t>DEFINITIONS:</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Academic Programme/ Programmes</w:t>
      </w:r>
      <w:r w:rsidRPr="00683FBA">
        <w:rPr>
          <w:rFonts w:ascii="Times New Roman" w:hAnsi="Times New Roman" w:cs="Times New Roman"/>
          <w:sz w:val="24"/>
          <w:szCs w:val="24"/>
        </w:rPr>
        <w:t xml:space="preserve"> shall means a programme of courses and/or any other component leading to a Bachelor’s degree, Master’s degree, Post-graduate and Under-graduate diplomas.</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An Academic Year</w:t>
      </w:r>
      <w:r w:rsidRPr="00683FBA">
        <w:rPr>
          <w:rFonts w:ascii="Times New Roman" w:hAnsi="Times New Roman" w:cs="Times New Roman"/>
          <w:sz w:val="24"/>
          <w:szCs w:val="24"/>
        </w:rPr>
        <w:t xml:space="preserve"> is a period of nearly 12 months devoted to completion of requirements specified in the Scheme of Teaching and the related examinations.</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Semester System</w:t>
      </w:r>
      <w:r w:rsidRPr="00683FBA">
        <w:rPr>
          <w:rFonts w:ascii="Times New Roman" w:hAnsi="Times New Roman" w:cs="Times New Roman"/>
          <w:sz w:val="24"/>
          <w:szCs w:val="24"/>
        </w:rPr>
        <w:t xml:space="preserve"> – a programme wherein each academic year is apportioned into two semesters.</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Board of Studies (BOS)</w:t>
      </w:r>
      <w:r w:rsidRPr="00683FBA">
        <w:rPr>
          <w:rFonts w:ascii="Times New Roman" w:hAnsi="Times New Roman" w:cs="Times New Roman"/>
          <w:sz w:val="24"/>
          <w:szCs w:val="24"/>
        </w:rPr>
        <w:t xml:space="preserve"> shall mean the Board of Studies of the School concerned.</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Course</w:t>
      </w:r>
      <w:r w:rsidRPr="00683FBA">
        <w:rPr>
          <w:rFonts w:ascii="Times New Roman" w:hAnsi="Times New Roman" w:cs="Times New Roman"/>
          <w:sz w:val="24"/>
          <w:szCs w:val="24"/>
        </w:rPr>
        <w:t xml:space="preserve"> means a component of the academic programme, carrying a distinctive </w:t>
      </w:r>
      <w:proofErr w:type="gramStart"/>
      <w:r w:rsidRPr="00683FBA">
        <w:rPr>
          <w:rFonts w:ascii="Times New Roman" w:hAnsi="Times New Roman" w:cs="Times New Roman"/>
          <w:sz w:val="24"/>
          <w:szCs w:val="24"/>
        </w:rPr>
        <w:t>code</w:t>
      </w:r>
      <w:proofErr w:type="gramEnd"/>
      <w:r w:rsidRPr="00683FBA">
        <w:rPr>
          <w:rFonts w:ascii="Times New Roman" w:hAnsi="Times New Roman" w:cs="Times New Roman"/>
          <w:sz w:val="24"/>
          <w:szCs w:val="24"/>
        </w:rPr>
        <w:t xml:space="preserve"> no. and specific credits assigned to it.</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External examiner</w:t>
      </w:r>
      <w:r w:rsidRPr="00683FBA">
        <w:rPr>
          <w:rFonts w:ascii="Times New Roman" w:hAnsi="Times New Roman" w:cs="Times New Roman"/>
          <w:sz w:val="24"/>
          <w:szCs w:val="24"/>
        </w:rPr>
        <w:t xml:space="preserve"> shall mean an examiner who is not in the employment of the University or its affiliated institutions.</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Student</w:t>
      </w:r>
      <w:r w:rsidRPr="00683FBA">
        <w:rPr>
          <w:rFonts w:ascii="Times New Roman" w:hAnsi="Times New Roman" w:cs="Times New Roman"/>
          <w:sz w:val="24"/>
          <w:szCs w:val="24"/>
        </w:rPr>
        <w:t xml:space="preserve"> shall mean a person admitted to the Schools of the University and its affiliated institutions for any of the academic programmes to which this Ordinance is applicable.</w:t>
      </w:r>
    </w:p>
    <w:p w:rsidR="00B51E2A" w:rsidRPr="00683FBA" w:rsidRDefault="00B51E2A" w:rsidP="003A7ED2">
      <w:pPr>
        <w:numPr>
          <w:ilvl w:val="0"/>
          <w:numId w:val="4"/>
        </w:numPr>
        <w:spacing w:line="240" w:lineRule="auto"/>
        <w:jc w:val="both"/>
        <w:rPr>
          <w:rFonts w:ascii="Times New Roman" w:hAnsi="Times New Roman" w:cs="Times New Roman"/>
          <w:sz w:val="24"/>
          <w:szCs w:val="24"/>
        </w:rPr>
      </w:pPr>
      <w:r w:rsidRPr="00683FBA">
        <w:rPr>
          <w:rFonts w:ascii="Times New Roman" w:hAnsi="Times New Roman" w:cs="Times New Roman"/>
          <w:b/>
          <w:bCs/>
          <w:sz w:val="24"/>
          <w:szCs w:val="24"/>
        </w:rPr>
        <w:t>University</w:t>
      </w:r>
      <w:r w:rsidRPr="00683FBA">
        <w:rPr>
          <w:rFonts w:ascii="Times New Roman" w:hAnsi="Times New Roman" w:cs="Times New Roman"/>
          <w:sz w:val="24"/>
          <w:szCs w:val="24"/>
        </w:rPr>
        <w:t xml:space="preserve"> shall mean Guru Gobind Singh Indraprastha University.</w:t>
      </w:r>
    </w:p>
    <w:p w:rsidR="00B51E2A" w:rsidRPr="00683FBA" w:rsidRDefault="00B51E2A" w:rsidP="00B51E2A">
      <w:pPr>
        <w:spacing w:line="240" w:lineRule="auto"/>
        <w:ind w:left="720" w:hanging="660"/>
        <w:jc w:val="both"/>
        <w:rPr>
          <w:rFonts w:ascii="Times New Roman" w:hAnsi="Times New Roman" w:cs="Times New Roman"/>
          <w:sz w:val="24"/>
          <w:szCs w:val="24"/>
        </w:rPr>
      </w:pPr>
      <w:r w:rsidRPr="00683FBA">
        <w:rPr>
          <w:rFonts w:ascii="Times New Roman" w:hAnsi="Times New Roman" w:cs="Times New Roman"/>
          <w:sz w:val="24"/>
          <w:szCs w:val="24"/>
        </w:rPr>
        <w:t>2.</w:t>
      </w:r>
      <w:r w:rsidRPr="00683FBA">
        <w:rPr>
          <w:rFonts w:ascii="Times New Roman" w:hAnsi="Times New Roman" w:cs="Times New Roman"/>
          <w:sz w:val="24"/>
          <w:szCs w:val="24"/>
        </w:rPr>
        <w:tab/>
        <w:t>The University shall hold examinations for all such academic programmes as are approved by the Academic Council and as it may notify from time to time for awarding Bachelor’s/Master’s Degrees, Under-graduate/Post-graduate diplomas, as the case may be, as per the prescribed Schemes of Teaching &amp; Examinations and Syllabi as are approved by the Academic Council.</w:t>
      </w:r>
    </w:p>
    <w:p w:rsidR="00B51E2A" w:rsidRPr="00683FBA" w:rsidRDefault="00B51E2A" w:rsidP="00B51E2A">
      <w:pPr>
        <w:spacing w:line="240" w:lineRule="auto"/>
        <w:ind w:left="720" w:hanging="720"/>
        <w:jc w:val="both"/>
        <w:rPr>
          <w:rFonts w:ascii="Times New Roman" w:hAnsi="Times New Roman" w:cs="Times New Roman"/>
          <w:sz w:val="24"/>
          <w:szCs w:val="24"/>
        </w:rPr>
      </w:pPr>
      <w:r w:rsidRPr="00683FBA">
        <w:rPr>
          <w:rFonts w:ascii="Times New Roman" w:hAnsi="Times New Roman" w:cs="Times New Roman"/>
          <w:sz w:val="24"/>
          <w:szCs w:val="24"/>
        </w:rPr>
        <w:t> 3.</w:t>
      </w:r>
      <w:r w:rsidRPr="00683FBA">
        <w:rPr>
          <w:rFonts w:ascii="Times New Roman" w:hAnsi="Times New Roman" w:cs="Times New Roman"/>
          <w:sz w:val="24"/>
          <w:szCs w:val="24"/>
        </w:rPr>
        <w:tab/>
        <w:t>Examinations of the University shall be open to regular students of weekend Programme i.e. candidates who have undergone a course of study in the University for a period specified for that programme of study in the Scheme &amp; Teaching &amp; Examination and Syllabi.</w:t>
      </w:r>
    </w:p>
    <w:p w:rsidR="00B51E2A" w:rsidRDefault="00B51E2A" w:rsidP="00B51E2A">
      <w:pPr>
        <w:spacing w:line="240" w:lineRule="auto"/>
        <w:ind w:left="720"/>
        <w:jc w:val="both"/>
        <w:rPr>
          <w:rFonts w:ascii="Times New Roman" w:hAnsi="Times New Roman" w:cs="Times New Roman"/>
          <w:sz w:val="24"/>
          <w:szCs w:val="24"/>
        </w:rPr>
      </w:pPr>
      <w:proofErr w:type="gramStart"/>
      <w:r w:rsidRPr="00683FBA">
        <w:rPr>
          <w:rFonts w:ascii="Times New Roman" w:hAnsi="Times New Roman" w:cs="Times New Roman"/>
          <w:sz w:val="24"/>
          <w:szCs w:val="24"/>
        </w:rPr>
        <w:lastRenderedPageBreak/>
        <w:t>Provided further that a student may be debarred from appearing in the semester-end examination as provided in Clause 8 of this Ordinance or as provided in any other Ordinance of the University.</w:t>
      </w:r>
      <w:proofErr w:type="gramEnd"/>
    </w:p>
    <w:p w:rsidR="00B51E2A" w:rsidRPr="00683FBA" w:rsidRDefault="00B51E2A" w:rsidP="00B51E2A">
      <w:pPr>
        <w:spacing w:line="240" w:lineRule="auto"/>
        <w:ind w:left="720"/>
        <w:jc w:val="both"/>
        <w:rPr>
          <w:rFonts w:ascii="Times New Roman" w:hAnsi="Times New Roman" w:cs="Times New Roman"/>
          <w:sz w:val="24"/>
          <w:szCs w:val="24"/>
        </w:rPr>
      </w:pPr>
    </w:p>
    <w:p w:rsidR="00B51E2A" w:rsidRPr="00683FBA" w:rsidRDefault="00B51E2A" w:rsidP="00B51E2A">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w:t>
      </w:r>
      <w:r w:rsidRPr="00683FBA">
        <w:rPr>
          <w:rFonts w:ascii="Times New Roman" w:hAnsi="Times New Roman" w:cs="Times New Roman"/>
          <w:b/>
          <w:bCs/>
          <w:sz w:val="24"/>
          <w:szCs w:val="24"/>
        </w:rPr>
        <w:t>4.</w:t>
      </w:r>
      <w:r w:rsidRPr="00683FBA">
        <w:rPr>
          <w:rFonts w:ascii="Times New Roman" w:hAnsi="Times New Roman" w:cs="Times New Roman"/>
          <w:b/>
          <w:bCs/>
          <w:sz w:val="24"/>
          <w:szCs w:val="24"/>
        </w:rPr>
        <w:tab/>
        <w:t>PROGRAMMES CONTENT &amp; DURATION</w:t>
      </w:r>
    </w:p>
    <w:p w:rsidR="00B51E2A" w:rsidRPr="00683FBA" w:rsidRDefault="00B51E2A" w:rsidP="00B51E2A">
      <w:pPr>
        <w:pStyle w:val="BodyTextIndent"/>
        <w:spacing w:after="200"/>
        <w:ind w:left="720" w:hanging="360"/>
      </w:pPr>
      <w:r w:rsidRPr="00683FBA">
        <w:t>(a)</w:t>
      </w:r>
      <w:r w:rsidRPr="00683FBA">
        <w:tab/>
        <w:t xml:space="preserve">A Bachelor’s/Master’s Degrees, Under-graduate/Post-graduate diploma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t>weightage</w:t>
      </w:r>
      <w:proofErr w:type="spellEnd"/>
      <w:r w:rsidRPr="00683FBA">
        <w:t xml:space="preserve"> in terms of specified Credits.</w:t>
      </w:r>
    </w:p>
    <w:p w:rsidR="00B51E2A" w:rsidRPr="00683FBA" w:rsidRDefault="00B51E2A" w:rsidP="00B51E2A">
      <w:pPr>
        <w:spacing w:line="240" w:lineRule="auto"/>
        <w:ind w:left="720" w:hanging="360"/>
        <w:jc w:val="both"/>
        <w:rPr>
          <w:rFonts w:ascii="Times New Roman" w:hAnsi="Times New Roman" w:cs="Times New Roman"/>
          <w:sz w:val="24"/>
          <w:szCs w:val="24"/>
        </w:rPr>
      </w:pPr>
      <w:r w:rsidRPr="00683FBA">
        <w:rPr>
          <w:rFonts w:ascii="Times New Roman" w:hAnsi="Times New Roman" w:cs="Times New Roman"/>
          <w:sz w:val="24"/>
          <w:szCs w:val="24"/>
        </w:rPr>
        <w:t> (b) The minimum period required for completion of a programme shall be the programme duration as specified in the Scheme of Teaching &amp; Examination and Syllabi for the concerned programme.</w:t>
      </w:r>
    </w:p>
    <w:p w:rsidR="00B51E2A" w:rsidRPr="00683FBA" w:rsidRDefault="00B51E2A" w:rsidP="00B51E2A">
      <w:pPr>
        <w:tabs>
          <w:tab w:val="left" w:pos="360"/>
        </w:tabs>
        <w:spacing w:line="240" w:lineRule="auto"/>
        <w:ind w:left="840" w:hanging="480"/>
        <w:jc w:val="both"/>
        <w:rPr>
          <w:rFonts w:ascii="Times New Roman" w:hAnsi="Times New Roman" w:cs="Times New Roman"/>
          <w:sz w:val="24"/>
          <w:szCs w:val="24"/>
        </w:rPr>
      </w:pPr>
      <w:r w:rsidRPr="00683FBA">
        <w:rPr>
          <w:rFonts w:ascii="Times New Roman" w:hAnsi="Times New Roman" w:cs="Times New Roman"/>
          <w:sz w:val="24"/>
          <w:szCs w:val="24"/>
        </w:rPr>
        <w:t xml:space="preserve">(c)  The maximum permissible period for completing a programme for which the prescribed programme duration is n semesters, shall be </w:t>
      </w:r>
      <w:r w:rsidRPr="00683FBA">
        <w:rPr>
          <w:rFonts w:ascii="Times New Roman" w:hAnsi="Times New Roman" w:cs="Times New Roman"/>
          <w:b/>
          <w:bCs/>
          <w:i/>
          <w:iCs/>
          <w:sz w:val="24"/>
          <w:szCs w:val="24"/>
        </w:rPr>
        <w:t xml:space="preserve">(n+6) </w:t>
      </w:r>
      <w:r w:rsidRPr="00683FBA">
        <w:rPr>
          <w:rFonts w:ascii="Times New Roman" w:hAnsi="Times New Roman" w:cs="Times New Roman"/>
          <w:sz w:val="24"/>
          <w:szCs w:val="24"/>
        </w:rPr>
        <w:t>semesters. All the programme requirements shall have to be completed in n+6 semesters.</w:t>
      </w:r>
    </w:p>
    <w:p w:rsidR="00B51E2A" w:rsidRPr="00683FBA" w:rsidRDefault="00B51E2A" w:rsidP="00B51E2A">
      <w:pPr>
        <w:spacing w:line="240" w:lineRule="auto"/>
        <w:ind w:left="1080" w:hanging="1080"/>
        <w:jc w:val="both"/>
        <w:rPr>
          <w:rFonts w:ascii="Times New Roman" w:hAnsi="Times New Roman" w:cs="Times New Roman"/>
          <w:sz w:val="24"/>
          <w:szCs w:val="24"/>
        </w:rPr>
      </w:pPr>
      <w:r w:rsidRPr="00683FBA">
        <w:rPr>
          <w:rFonts w:ascii="Times New Roman" w:hAnsi="Times New Roman" w:cs="Times New Roman"/>
          <w:sz w:val="24"/>
          <w:szCs w:val="24"/>
        </w:rPr>
        <w:t> (d)  (</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w:t>
      </w:r>
      <w:r w:rsidRPr="00683FBA">
        <w:rPr>
          <w:rFonts w:ascii="Times New Roman" w:hAnsi="Times New Roman" w:cs="Times New Roman"/>
          <w:sz w:val="24"/>
          <w:szCs w:val="24"/>
        </w:rPr>
        <w:tab/>
        <w:t>A student may be allowed to “audit” a course(s) not included in the Scheme of Teaching &amp; Examination, or one of the elective course(s) in the Scheme of Teaching &amp; Examination and Syllabi, which the student is not opting for as a credit course, or as prescribed in clause 14.</w:t>
      </w:r>
    </w:p>
    <w:p w:rsidR="00B51E2A" w:rsidRPr="00683FBA" w:rsidRDefault="00B51E2A" w:rsidP="00B51E2A">
      <w:pPr>
        <w:spacing w:line="240" w:lineRule="auto"/>
        <w:ind w:left="1080" w:hanging="600"/>
        <w:rPr>
          <w:rFonts w:ascii="Times New Roman" w:hAnsi="Times New Roman" w:cs="Times New Roman"/>
          <w:sz w:val="24"/>
          <w:szCs w:val="24"/>
        </w:rPr>
      </w:pPr>
      <w:r w:rsidRPr="00683FBA">
        <w:rPr>
          <w:rFonts w:ascii="Times New Roman" w:hAnsi="Times New Roman" w:cs="Times New Roman"/>
          <w:sz w:val="24"/>
          <w:szCs w:val="24"/>
        </w:rPr>
        <w:t>(ii)</w:t>
      </w:r>
      <w:r w:rsidRPr="00683FBA">
        <w:rPr>
          <w:rFonts w:ascii="Times New Roman" w:hAnsi="Times New Roman" w:cs="Times New Roman"/>
          <w:sz w:val="24"/>
          <w:szCs w:val="24"/>
        </w:rPr>
        <w:tab/>
        <w:t>The University may ask a student to audit one or more courses, so as to make up any pre-requisite deficiency.</w:t>
      </w:r>
    </w:p>
    <w:p w:rsidR="00B51E2A" w:rsidRPr="00683FBA" w:rsidRDefault="00B51E2A" w:rsidP="00B51E2A">
      <w:pPr>
        <w:pStyle w:val="BodyTextIndent"/>
        <w:spacing w:after="200"/>
        <w:ind w:left="1200" w:hanging="720"/>
      </w:pPr>
      <w:r w:rsidRPr="00683FBA">
        <w:t>(iii)</w:t>
      </w:r>
      <w:r w:rsidRPr="00683FBA">
        <w:tab/>
        <w:t>Such audited course(s) shall be shown in the final mark-sheets under a distinct head of “Audited Course(s)” provided the attendance requirement of the course is duly certified to have been met by the concerned teacher(s). However, a student shall neither be entitled to any credits for such course(s), nor these shall be considered for the purposes of declaration of results.</w:t>
      </w:r>
    </w:p>
    <w:p w:rsidR="00B51E2A" w:rsidRPr="00683FBA" w:rsidRDefault="00B51E2A" w:rsidP="00B51E2A">
      <w:pPr>
        <w:spacing w:line="240" w:lineRule="auto"/>
        <w:rPr>
          <w:rFonts w:ascii="Times New Roman" w:hAnsi="Times New Roman" w:cs="Times New Roman"/>
          <w:b/>
          <w:bCs/>
          <w:sz w:val="24"/>
          <w:szCs w:val="24"/>
        </w:rPr>
      </w:pPr>
      <w:r w:rsidRPr="00683FBA">
        <w:rPr>
          <w:rFonts w:ascii="Times New Roman" w:hAnsi="Times New Roman" w:cs="Times New Roman"/>
          <w:sz w:val="24"/>
          <w:szCs w:val="24"/>
        </w:rPr>
        <w:t> </w:t>
      </w:r>
      <w:r w:rsidRPr="00683FBA">
        <w:rPr>
          <w:rFonts w:ascii="Times New Roman" w:hAnsi="Times New Roman" w:cs="Times New Roman"/>
          <w:b/>
          <w:bCs/>
          <w:sz w:val="24"/>
          <w:szCs w:val="24"/>
        </w:rPr>
        <w:t>5.</w:t>
      </w:r>
      <w:r w:rsidRPr="00683FBA">
        <w:rPr>
          <w:rFonts w:ascii="Times New Roman" w:hAnsi="Times New Roman" w:cs="Times New Roman"/>
          <w:b/>
          <w:bCs/>
          <w:sz w:val="24"/>
          <w:szCs w:val="24"/>
        </w:rPr>
        <w:tab/>
        <w:t>SEMESTER</w:t>
      </w:r>
    </w:p>
    <w:p w:rsidR="00B51E2A" w:rsidRPr="00683FBA" w:rsidRDefault="00B51E2A" w:rsidP="00B51E2A">
      <w:pPr>
        <w:spacing w:line="240" w:lineRule="auto"/>
        <w:ind w:left="1200" w:hanging="480"/>
        <w:jc w:val="both"/>
        <w:rPr>
          <w:rFonts w:ascii="Times New Roman" w:hAnsi="Times New Roman" w:cs="Times New Roman"/>
          <w:sz w:val="24"/>
          <w:szCs w:val="24"/>
        </w:rPr>
      </w:pPr>
      <w:r w:rsidRPr="00683FBA">
        <w:rPr>
          <w:rFonts w:ascii="Times New Roman" w:hAnsi="Times New Roman" w:cs="Times New Roman"/>
          <w:sz w:val="24"/>
          <w:szCs w:val="24"/>
        </w:rPr>
        <w:t> (a)   An academic year shall be apportioned into two semesters shall be of a working duration of about 21 weeks. There shall be break of 2 weeks after odd semester and 4 weeks after the even semester.</w:t>
      </w:r>
    </w:p>
    <w:p w:rsidR="00B51E2A" w:rsidRPr="00683FBA" w:rsidRDefault="00B51E2A" w:rsidP="00B51E2A">
      <w:pPr>
        <w:spacing w:line="240" w:lineRule="auto"/>
        <w:ind w:left="1200"/>
        <w:jc w:val="both"/>
        <w:rPr>
          <w:rFonts w:ascii="Times New Roman" w:hAnsi="Times New Roman" w:cs="Times New Roman"/>
          <w:sz w:val="24"/>
          <w:szCs w:val="24"/>
        </w:rPr>
      </w:pPr>
      <w:r w:rsidRPr="00683FBA">
        <w:rPr>
          <w:rFonts w:ascii="Times New Roman" w:hAnsi="Times New Roman" w:cs="Times New Roman"/>
          <w:sz w:val="24"/>
          <w:szCs w:val="24"/>
        </w:rPr>
        <w:t xml:space="preserve">The Academic </w:t>
      </w:r>
      <w:proofErr w:type="spellStart"/>
      <w:r w:rsidRPr="00683FBA">
        <w:rPr>
          <w:rFonts w:ascii="Times New Roman" w:hAnsi="Times New Roman" w:cs="Times New Roman"/>
          <w:sz w:val="24"/>
          <w:szCs w:val="24"/>
        </w:rPr>
        <w:t>Calender</w:t>
      </w:r>
      <w:proofErr w:type="spellEnd"/>
      <w:r w:rsidRPr="00683FBA">
        <w:rPr>
          <w:rFonts w:ascii="Times New Roman" w:hAnsi="Times New Roman" w:cs="Times New Roman"/>
          <w:sz w:val="24"/>
          <w:szCs w:val="24"/>
        </w:rPr>
        <w:t xml:space="preserve"> shall be notified by the University each year, before the start of Academic Year.</w:t>
      </w:r>
    </w:p>
    <w:p w:rsidR="00B51E2A" w:rsidRPr="00683FBA" w:rsidRDefault="00B51E2A" w:rsidP="00B51E2A">
      <w:pPr>
        <w:spacing w:line="240" w:lineRule="auto"/>
        <w:ind w:left="1200" w:hanging="480"/>
        <w:rPr>
          <w:rFonts w:ascii="Times New Roman" w:hAnsi="Times New Roman" w:cs="Times New Roman"/>
          <w:sz w:val="24"/>
          <w:szCs w:val="24"/>
        </w:rPr>
      </w:pPr>
      <w:r w:rsidRPr="00683FBA">
        <w:rPr>
          <w:rFonts w:ascii="Times New Roman" w:hAnsi="Times New Roman" w:cs="Times New Roman"/>
          <w:sz w:val="24"/>
          <w:szCs w:val="24"/>
        </w:rPr>
        <w:t> (b)</w:t>
      </w:r>
      <w:r w:rsidRPr="00683FBA">
        <w:rPr>
          <w:rFonts w:ascii="Times New Roman" w:hAnsi="Times New Roman" w:cs="Times New Roman"/>
          <w:sz w:val="24"/>
          <w:szCs w:val="24"/>
        </w:rPr>
        <w:tab/>
        <w:t>The academic break-up of the semesters devoted to instructional work shall be as below:</w:t>
      </w:r>
    </w:p>
    <w:p w:rsidR="00B51E2A" w:rsidRPr="00683FBA" w:rsidRDefault="00B51E2A" w:rsidP="00B51E2A">
      <w:pPr>
        <w:spacing w:line="240" w:lineRule="auto"/>
        <w:ind w:left="720" w:firstLine="480"/>
        <w:rPr>
          <w:rFonts w:ascii="Times New Roman" w:hAnsi="Times New Roman" w:cs="Times New Roman"/>
          <w:sz w:val="24"/>
          <w:szCs w:val="24"/>
        </w:rPr>
      </w:pPr>
      <w:r w:rsidRPr="00683FBA">
        <w:rPr>
          <w:rFonts w:ascii="Times New Roman" w:hAnsi="Times New Roman" w:cs="Times New Roman"/>
          <w:sz w:val="24"/>
          <w:szCs w:val="24"/>
        </w:rPr>
        <w:t> Imparting of instructions and/or laboratory work</w:t>
      </w:r>
      <w:r w:rsidRPr="00683FBA">
        <w:rPr>
          <w:rFonts w:ascii="Times New Roman" w:hAnsi="Times New Roman" w:cs="Times New Roman"/>
          <w:sz w:val="24"/>
          <w:szCs w:val="24"/>
        </w:rPr>
        <w:tab/>
        <w:t>-</w:t>
      </w:r>
      <w:r w:rsidRPr="00683FBA">
        <w:rPr>
          <w:rFonts w:ascii="Times New Roman" w:hAnsi="Times New Roman" w:cs="Times New Roman"/>
          <w:sz w:val="24"/>
          <w:szCs w:val="24"/>
        </w:rPr>
        <w:tab/>
        <w:t>20</w:t>
      </w:r>
      <w:r w:rsidRPr="00683FBA">
        <w:rPr>
          <w:rFonts w:ascii="Times New Roman" w:hAnsi="Times New Roman" w:cs="Times New Roman"/>
          <w:sz w:val="24"/>
          <w:szCs w:val="24"/>
        </w:rPr>
        <w:tab/>
        <w:t>Weeks</w:t>
      </w:r>
    </w:p>
    <w:p w:rsidR="00B51E2A" w:rsidRPr="00683FBA" w:rsidRDefault="00B51E2A" w:rsidP="00B51E2A">
      <w:pPr>
        <w:spacing w:line="240" w:lineRule="auto"/>
        <w:ind w:left="720" w:firstLine="480"/>
        <w:rPr>
          <w:rFonts w:ascii="Times New Roman" w:hAnsi="Times New Roman" w:cs="Times New Roman"/>
          <w:sz w:val="24"/>
          <w:szCs w:val="24"/>
        </w:rPr>
      </w:pPr>
      <w:r w:rsidRPr="00683FBA">
        <w:rPr>
          <w:rFonts w:ascii="Times New Roman" w:hAnsi="Times New Roman" w:cs="Times New Roman"/>
          <w:sz w:val="24"/>
          <w:szCs w:val="24"/>
        </w:rPr>
        <w:lastRenderedPageBreak/>
        <w:t>(</w:t>
      </w:r>
      <w:proofErr w:type="gramStart"/>
      <w:r w:rsidRPr="00683FBA">
        <w:rPr>
          <w:rFonts w:ascii="Times New Roman" w:hAnsi="Times New Roman" w:cs="Times New Roman"/>
          <w:sz w:val="24"/>
          <w:szCs w:val="24"/>
        </w:rPr>
        <w:t>including</w:t>
      </w:r>
      <w:proofErr w:type="gramEnd"/>
      <w:r w:rsidRPr="00683FBA">
        <w:rPr>
          <w:rFonts w:ascii="Times New Roman" w:hAnsi="Times New Roman" w:cs="Times New Roman"/>
          <w:sz w:val="24"/>
          <w:szCs w:val="24"/>
        </w:rPr>
        <w:t xml:space="preserve"> class tests)</w:t>
      </w:r>
    </w:p>
    <w:p w:rsidR="00B51E2A" w:rsidRPr="00683FBA" w:rsidRDefault="00B51E2A" w:rsidP="00B51E2A">
      <w:pPr>
        <w:spacing w:line="240" w:lineRule="auto"/>
        <w:ind w:left="1200"/>
        <w:rPr>
          <w:rFonts w:ascii="Times New Roman" w:hAnsi="Times New Roman" w:cs="Times New Roman"/>
          <w:sz w:val="24"/>
          <w:szCs w:val="24"/>
        </w:rPr>
      </w:pPr>
      <w:r w:rsidRPr="00683FBA">
        <w:rPr>
          <w:rFonts w:ascii="Times New Roman" w:hAnsi="Times New Roman" w:cs="Times New Roman"/>
          <w:sz w:val="24"/>
          <w:szCs w:val="24"/>
        </w:rPr>
        <w:t xml:space="preserve"> Semester-end Examination, including Practical / </w:t>
      </w:r>
      <w:r w:rsidRPr="00683FBA">
        <w:rPr>
          <w:rFonts w:ascii="Times New Roman" w:hAnsi="Times New Roman" w:cs="Times New Roman"/>
          <w:sz w:val="24"/>
          <w:szCs w:val="24"/>
        </w:rPr>
        <w:tab/>
        <w:t>-</w:t>
      </w:r>
      <w:r w:rsidRPr="00683FBA">
        <w:rPr>
          <w:rFonts w:ascii="Times New Roman" w:hAnsi="Times New Roman" w:cs="Times New Roman"/>
          <w:sz w:val="24"/>
          <w:szCs w:val="24"/>
        </w:rPr>
        <w:tab/>
        <w:t xml:space="preserve">03 </w:t>
      </w:r>
      <w:r w:rsidRPr="00683FBA">
        <w:rPr>
          <w:rFonts w:ascii="Times New Roman" w:hAnsi="Times New Roman" w:cs="Times New Roman"/>
          <w:sz w:val="24"/>
          <w:szCs w:val="24"/>
        </w:rPr>
        <w:tab/>
        <w:t>Weeks</w:t>
      </w:r>
    </w:p>
    <w:p w:rsidR="00B51E2A" w:rsidRPr="00683FBA" w:rsidRDefault="00B51E2A" w:rsidP="00B51E2A">
      <w:pPr>
        <w:spacing w:line="240" w:lineRule="auto"/>
        <w:ind w:left="480" w:firstLine="720"/>
        <w:rPr>
          <w:rFonts w:ascii="Times New Roman" w:hAnsi="Times New Roman" w:cs="Times New Roman"/>
          <w:sz w:val="24"/>
          <w:szCs w:val="24"/>
        </w:rPr>
      </w:pPr>
      <w:r w:rsidRPr="00683FBA">
        <w:rPr>
          <w:rFonts w:ascii="Times New Roman" w:hAnsi="Times New Roman" w:cs="Times New Roman"/>
          <w:sz w:val="24"/>
          <w:szCs w:val="24"/>
        </w:rPr>
        <w:t xml:space="preserve"> Laboratory Examination</w:t>
      </w:r>
    </w:p>
    <w:p w:rsidR="00B51E2A" w:rsidRDefault="00B51E2A" w:rsidP="00B51E2A">
      <w:pPr>
        <w:spacing w:line="240" w:lineRule="auto"/>
        <w:rPr>
          <w:rFonts w:ascii="Times New Roman" w:hAnsi="Times New Roman" w:cs="Times New Roman"/>
          <w:sz w:val="24"/>
          <w:szCs w:val="24"/>
        </w:rPr>
      </w:pPr>
      <w:r w:rsidRPr="00683FBA">
        <w:rPr>
          <w:rFonts w:ascii="Times New Roman" w:hAnsi="Times New Roman" w:cs="Times New Roman"/>
          <w:sz w:val="24"/>
          <w:szCs w:val="24"/>
        </w:rPr>
        <w:t> </w:t>
      </w:r>
    </w:p>
    <w:p w:rsidR="00B51E2A" w:rsidRDefault="00B51E2A" w:rsidP="00B51E2A">
      <w:pPr>
        <w:spacing w:line="240" w:lineRule="auto"/>
        <w:rPr>
          <w:rFonts w:ascii="Times New Roman" w:hAnsi="Times New Roman" w:cs="Times New Roman"/>
          <w:sz w:val="24"/>
          <w:szCs w:val="24"/>
        </w:rPr>
      </w:pPr>
    </w:p>
    <w:p w:rsidR="00B51E2A" w:rsidRPr="00683FBA" w:rsidRDefault="00B51E2A" w:rsidP="00B51E2A">
      <w:pPr>
        <w:spacing w:line="240" w:lineRule="auto"/>
        <w:rPr>
          <w:rFonts w:ascii="Times New Roman" w:hAnsi="Times New Roman" w:cs="Times New Roman"/>
          <w:b/>
          <w:bCs/>
          <w:sz w:val="24"/>
          <w:szCs w:val="24"/>
        </w:rPr>
      </w:pPr>
      <w:r w:rsidRPr="00683FBA">
        <w:rPr>
          <w:rFonts w:ascii="Times New Roman" w:hAnsi="Times New Roman" w:cs="Times New Roman"/>
          <w:b/>
          <w:bCs/>
          <w:sz w:val="24"/>
          <w:szCs w:val="24"/>
        </w:rPr>
        <w:t>6.</w:t>
      </w:r>
      <w:r w:rsidRPr="00683FBA">
        <w:rPr>
          <w:rFonts w:ascii="Times New Roman" w:hAnsi="Times New Roman" w:cs="Times New Roman"/>
          <w:b/>
          <w:bCs/>
          <w:sz w:val="24"/>
          <w:szCs w:val="24"/>
        </w:rPr>
        <w:tab/>
        <w:t>ACADEMIC PROGRAMME COMMITTEE</w:t>
      </w:r>
    </w:p>
    <w:p w:rsidR="00B51E2A" w:rsidRPr="00683FBA" w:rsidRDefault="00B51E2A" w:rsidP="003A7ED2">
      <w:pPr>
        <w:numPr>
          <w:ilvl w:val="0"/>
          <w:numId w:val="1"/>
        </w:num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an Academic Programme Committee in each University School and programme-wise Academic Programme Committee(s) in affiliated institutions.</w:t>
      </w:r>
    </w:p>
    <w:p w:rsidR="00B51E2A" w:rsidRPr="00683FBA" w:rsidRDefault="00B51E2A" w:rsidP="00B51E2A">
      <w:pPr>
        <w:tabs>
          <w:tab w:val="left" w:pos="720"/>
        </w:tabs>
        <w:spacing w:line="240" w:lineRule="auto"/>
        <w:ind w:left="1440" w:hanging="1440"/>
        <w:jc w:val="both"/>
        <w:rPr>
          <w:rFonts w:ascii="Times New Roman" w:hAnsi="Times New Roman" w:cs="Times New Roman"/>
          <w:sz w:val="24"/>
          <w:szCs w:val="24"/>
        </w:rPr>
      </w:pPr>
      <w:r w:rsidRPr="00683FBA">
        <w:rPr>
          <w:rFonts w:ascii="Times New Roman" w:hAnsi="Times New Roman" w:cs="Times New Roman"/>
          <w:sz w:val="24"/>
          <w:szCs w:val="24"/>
        </w:rPr>
        <w:t> </w:t>
      </w:r>
      <w:r w:rsidRPr="00683FBA">
        <w:rPr>
          <w:rFonts w:ascii="Times New Roman" w:hAnsi="Times New Roman" w:cs="Times New Roman"/>
          <w:sz w:val="24"/>
          <w:szCs w:val="24"/>
        </w:rPr>
        <w:tab/>
        <w:t>(b)       In the case of Schools of Studies of the University, all the teachers of a School of Studies shall constitute the Academic Programme Committee of which the Dean of the School shall act as its Chairman. This Committee shall coordinate the implementation of the courses for optimum utilization of resources and shall also take care of the coordination of the School’s programmes with the other programmes run by the different Schools of the University.</w:t>
      </w:r>
    </w:p>
    <w:p w:rsidR="00B51E2A" w:rsidRPr="00683FBA" w:rsidRDefault="00B51E2A" w:rsidP="00B51E2A">
      <w:pPr>
        <w:pStyle w:val="BodyTextIndent"/>
        <w:spacing w:after="200"/>
        <w:ind w:left="1440" w:hanging="720"/>
      </w:pPr>
      <w:r w:rsidRPr="00683FBA">
        <w:t>(c)        The Academic Programme Committees shall also perform other tasks as assigned to it by the Board of Studies of the concerned School of the University.</w:t>
      </w:r>
    </w:p>
    <w:p w:rsidR="00B51E2A" w:rsidRPr="00683FBA" w:rsidRDefault="00B51E2A" w:rsidP="00B51E2A">
      <w:pPr>
        <w:pStyle w:val="BodyTextIndent"/>
        <w:spacing w:after="200"/>
        <w:ind w:left="1440" w:hanging="720"/>
      </w:pPr>
      <w:r w:rsidRPr="00683FBA">
        <w:t> (d)       The Academic Programme Committee shall meet as and when required but at least once every semester. The Chairman of the Committee will convene the meetings.</w:t>
      </w:r>
    </w:p>
    <w:p w:rsidR="00B51E2A" w:rsidRPr="00683FBA" w:rsidRDefault="00B51E2A" w:rsidP="00B51E2A">
      <w:pPr>
        <w:pStyle w:val="BodyTextIndent"/>
        <w:spacing w:after="200"/>
        <w:ind w:left="0"/>
        <w:rPr>
          <w:b/>
          <w:bCs/>
        </w:rPr>
      </w:pPr>
      <w:r w:rsidRPr="00683FBA">
        <w:t> </w:t>
      </w:r>
      <w:r w:rsidRPr="00683FBA">
        <w:rPr>
          <w:b/>
          <w:bCs/>
        </w:rPr>
        <w:t>7.</w:t>
      </w:r>
      <w:r w:rsidRPr="00683FBA">
        <w:rPr>
          <w:b/>
          <w:bCs/>
        </w:rPr>
        <w:tab/>
        <w:t>EXAMINATION FEES</w:t>
      </w:r>
    </w:p>
    <w:p w:rsidR="00B51E2A" w:rsidRPr="00683FBA" w:rsidRDefault="00B51E2A" w:rsidP="00B51E2A">
      <w:pPr>
        <w:pStyle w:val="BodyTextIndent"/>
        <w:spacing w:after="200"/>
        <w:ind w:left="720" w:hanging="720"/>
      </w:pPr>
      <w:r w:rsidRPr="00683FBA">
        <w:t> </w:t>
      </w:r>
      <w:r w:rsidRPr="00683FBA">
        <w:tab/>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B51E2A" w:rsidRPr="00683FBA" w:rsidRDefault="00B51E2A" w:rsidP="00B51E2A">
      <w:pPr>
        <w:pStyle w:val="BodyTextIndent"/>
        <w:spacing w:after="200"/>
        <w:ind w:left="0"/>
        <w:rPr>
          <w:b/>
          <w:bCs/>
        </w:rPr>
      </w:pPr>
      <w:r w:rsidRPr="00683FBA">
        <w:t> </w:t>
      </w:r>
      <w:r w:rsidRPr="00683FBA">
        <w:rPr>
          <w:b/>
          <w:bCs/>
        </w:rPr>
        <w:t>8.</w:t>
      </w:r>
      <w:r w:rsidRPr="00683FBA">
        <w:rPr>
          <w:b/>
          <w:bCs/>
        </w:rPr>
        <w:tab/>
        <w:t>ATTENDANCE</w:t>
      </w:r>
    </w:p>
    <w:p w:rsidR="00B51E2A" w:rsidRPr="00683FBA" w:rsidRDefault="00B51E2A" w:rsidP="00B51E2A">
      <w:pPr>
        <w:pStyle w:val="BodyTextIndent"/>
        <w:spacing w:after="200"/>
        <w:ind w:left="720"/>
      </w:pPr>
      <w:r w:rsidRPr="00683FBA">
        <w:t xml:space="preserve">In the weekend programme, the student is expected to devote 20% of time during weekdays for self-study. A student shall be required to have a minimum attendance of 70% or more in the aggregate of all the courses taken together in a semester, provided that the Dean of the school in case of University Schools and Principal / Director in case of University maintained / affiliated institutes may condone attendance shortage </w:t>
      </w:r>
      <w:proofErr w:type="spellStart"/>
      <w:r w:rsidRPr="00683FBA">
        <w:t>upto</w:t>
      </w:r>
      <w:proofErr w:type="spellEnd"/>
      <w:r w:rsidRPr="00683FBA">
        <w:t xml:space="preserve"> 5% for individual student for reasons to be recorded. However, under no condition, a student who has an aggregate attendance of less than 65% in a semester shall be allowed to appear in the semester end examination.</w:t>
      </w:r>
    </w:p>
    <w:p w:rsidR="00B51E2A" w:rsidRPr="00683FBA" w:rsidRDefault="00B51E2A" w:rsidP="00B51E2A">
      <w:pPr>
        <w:pStyle w:val="BodyTextIndent"/>
        <w:spacing w:after="200"/>
        <w:ind w:left="720"/>
      </w:pPr>
      <w:r w:rsidRPr="00683FBA">
        <w:lastRenderedPageBreak/>
        <w:t>Student who has been detained due to shortage of attendance shall not be allowed to be promoted to the next semester and he/she will be required to take re-admission and repeat all courses of the said semester with the next batch of students. The University Enrolment number of such student shall however remain unchanged and he or she shall be required to complete the programme in a maximum permissible period of (n+6) semesters as mentioned in clause 4(c).</w:t>
      </w:r>
    </w:p>
    <w:p w:rsidR="00B51E2A" w:rsidRPr="00683FBA" w:rsidRDefault="00B51E2A" w:rsidP="00B51E2A">
      <w:pPr>
        <w:pStyle w:val="BodyTextIndent"/>
        <w:spacing w:after="200"/>
        <w:ind w:left="720"/>
      </w:pPr>
      <w:r w:rsidRPr="00683FBA">
        <w:t>Dean of the School / Director / Principal shall announce the names of all such students who are not eligible to appear in the semester-end examination, at least 5 calendar days before the start of the semester-end examination and simultaneously intimate the same to the Controller of Examinations.</w:t>
      </w:r>
    </w:p>
    <w:p w:rsidR="00B51E2A" w:rsidRPr="00683FBA" w:rsidRDefault="00B51E2A" w:rsidP="00B51E2A">
      <w:pPr>
        <w:pStyle w:val="BodyTextIndent"/>
        <w:spacing w:after="200"/>
        <w:ind w:left="720"/>
      </w:pPr>
      <w:r w:rsidRPr="00683FBA">
        <w:t>In case any student appears by default, who in fact has been detained by the Institute, his/ her result shall be treated as null and void.</w:t>
      </w:r>
    </w:p>
    <w:p w:rsidR="00B51E2A" w:rsidRPr="00683FBA" w:rsidRDefault="00B51E2A" w:rsidP="00B51E2A">
      <w:pPr>
        <w:pStyle w:val="BodyTextIndent"/>
        <w:spacing w:after="200"/>
        <w:ind w:left="0"/>
        <w:rPr>
          <w:b/>
          <w:bCs/>
        </w:rPr>
      </w:pPr>
      <w:r w:rsidRPr="00683FBA">
        <w:t> </w:t>
      </w:r>
      <w:r w:rsidRPr="00683FBA">
        <w:rPr>
          <w:b/>
          <w:bCs/>
        </w:rPr>
        <w:t>9.</w:t>
      </w:r>
      <w:r w:rsidRPr="00683FBA">
        <w:rPr>
          <w:b/>
          <w:bCs/>
        </w:rPr>
        <w:tab/>
        <w:t>EVALUATION &amp; EXAMINATION</w:t>
      </w:r>
    </w:p>
    <w:p w:rsidR="00B51E2A" w:rsidRPr="00683FBA" w:rsidRDefault="00B51E2A" w:rsidP="003A7ED2">
      <w:pPr>
        <w:pStyle w:val="BodyTextIndent"/>
        <w:numPr>
          <w:ilvl w:val="0"/>
          <w:numId w:val="2"/>
        </w:numPr>
        <w:spacing w:after="200"/>
      </w:pPr>
      <w:r w:rsidRPr="00683FBA">
        <w:t xml:space="preserve">The overall </w:t>
      </w:r>
      <w:proofErr w:type="spellStart"/>
      <w:r w:rsidRPr="00683FBA">
        <w:t>weightage</w:t>
      </w:r>
      <w:proofErr w:type="spellEnd"/>
      <w:r w:rsidRPr="00683FBA">
        <w:t xml:space="preserve"> of a course in the Syllabi and Scheme of Teaching &amp; Examination shall be determined in terms of credits assigned to the course.</w:t>
      </w:r>
    </w:p>
    <w:p w:rsidR="00B51E2A" w:rsidRPr="00683FBA" w:rsidRDefault="00B51E2A" w:rsidP="00B51E2A">
      <w:pPr>
        <w:pStyle w:val="BodyTextIndent"/>
        <w:spacing w:after="200"/>
        <w:ind w:left="720"/>
      </w:pPr>
      <w:r w:rsidRPr="00683FBA">
        <w:t> The evaluation of students in a course shall have two components unless specifically stated otherwise in the Scheme of Teaching &amp; Examination and syllabi:</w:t>
      </w:r>
    </w:p>
    <w:p w:rsidR="00B51E2A" w:rsidRPr="00683FBA" w:rsidRDefault="00B51E2A" w:rsidP="00B51E2A">
      <w:pPr>
        <w:pStyle w:val="BodyTextIndent"/>
        <w:spacing w:after="200"/>
        <w:ind w:left="0"/>
      </w:pPr>
      <w:r w:rsidRPr="00683FBA">
        <w:t> </w:t>
      </w:r>
      <w:r w:rsidRPr="00683FBA">
        <w:tab/>
      </w:r>
      <w:r w:rsidRPr="00683FBA">
        <w:tab/>
        <w:t>(</w:t>
      </w:r>
      <w:proofErr w:type="spellStart"/>
      <w:r w:rsidRPr="00683FBA">
        <w:t>i</w:t>
      </w:r>
      <w:proofErr w:type="spellEnd"/>
      <w:r w:rsidRPr="00683FBA">
        <w:t>)     Evaluation through a semester-end Examination</w:t>
      </w:r>
    </w:p>
    <w:p w:rsidR="00B51E2A" w:rsidRPr="00683FBA" w:rsidRDefault="00B51E2A" w:rsidP="00B51E2A">
      <w:pPr>
        <w:pStyle w:val="BodyTextIndent"/>
        <w:spacing w:after="200"/>
        <w:ind w:left="1440"/>
      </w:pPr>
      <w:r w:rsidRPr="00683FBA">
        <w:t>(ii)    Continuous evaluation by the teacher(s) of the course.</w:t>
      </w:r>
    </w:p>
    <w:p w:rsidR="00B51E2A" w:rsidRPr="00683FBA" w:rsidRDefault="00B51E2A" w:rsidP="00B51E2A">
      <w:pPr>
        <w:pStyle w:val="BodyTextIndent"/>
        <w:spacing w:after="200"/>
        <w:ind w:left="720"/>
      </w:pPr>
      <w:r w:rsidRPr="00683FBA">
        <w:t xml:space="preserve"> (c)      The distribution of </w:t>
      </w:r>
      <w:proofErr w:type="spellStart"/>
      <w:r w:rsidRPr="00683FBA">
        <w:t>weightage</w:t>
      </w:r>
      <w:proofErr w:type="spellEnd"/>
      <w:r w:rsidRPr="00683FBA">
        <w:t xml:space="preserve"> for various components of evaluation shall be as </w:t>
      </w:r>
      <w:r w:rsidRPr="00683FBA">
        <w:tab/>
        <w:t>below:</w:t>
      </w:r>
    </w:p>
    <w:tbl>
      <w:tblPr>
        <w:tblW w:w="8209" w:type="dxa"/>
        <w:tblInd w:w="959" w:type="dxa"/>
        <w:tblLook w:val="0000"/>
      </w:tblPr>
      <w:tblGrid>
        <w:gridCol w:w="561"/>
        <w:gridCol w:w="3317"/>
        <w:gridCol w:w="2168"/>
        <w:gridCol w:w="2163"/>
      </w:tblGrid>
      <w:tr w:rsidR="00B51E2A" w:rsidRPr="00683FBA" w:rsidTr="006D3292">
        <w:tc>
          <w:tcPr>
            <w:tcW w:w="567" w:type="dxa"/>
          </w:tcPr>
          <w:p w:rsidR="00B51E2A" w:rsidRPr="00683FBA" w:rsidRDefault="00B51E2A" w:rsidP="006D3292">
            <w:pPr>
              <w:pStyle w:val="BodyTextIndent"/>
              <w:spacing w:after="200"/>
              <w:ind w:left="0"/>
            </w:pPr>
            <w:r w:rsidRPr="00683FBA">
              <w:t>  </w:t>
            </w:r>
          </w:p>
        </w:tc>
        <w:tc>
          <w:tcPr>
            <w:tcW w:w="3260" w:type="dxa"/>
          </w:tcPr>
          <w:p w:rsidR="00B51E2A" w:rsidRPr="00683FBA" w:rsidRDefault="00B51E2A" w:rsidP="006D3292">
            <w:pPr>
              <w:pStyle w:val="BodyTextIndent"/>
              <w:spacing w:after="200"/>
              <w:ind w:left="0"/>
            </w:pPr>
            <w:r w:rsidRPr="00683FBA">
              <w:t> </w:t>
            </w:r>
          </w:p>
        </w:tc>
        <w:tc>
          <w:tcPr>
            <w:tcW w:w="2191" w:type="dxa"/>
          </w:tcPr>
          <w:p w:rsidR="00B51E2A" w:rsidRPr="00683FBA" w:rsidRDefault="00B51E2A" w:rsidP="006D3292">
            <w:pPr>
              <w:pStyle w:val="BodyTextIndent"/>
              <w:ind w:left="0"/>
            </w:pPr>
            <w:r w:rsidRPr="00683FBA">
              <w:t>Bachelor’s degree/</w:t>
            </w:r>
          </w:p>
          <w:p w:rsidR="00B51E2A" w:rsidRPr="00683FBA" w:rsidRDefault="00B51E2A" w:rsidP="006D3292">
            <w:pPr>
              <w:pStyle w:val="BodyTextIndent"/>
              <w:ind w:left="0"/>
            </w:pPr>
            <w:r w:rsidRPr="00683FBA">
              <w:t>Under-graduate diploma</w:t>
            </w:r>
          </w:p>
        </w:tc>
        <w:tc>
          <w:tcPr>
            <w:tcW w:w="2191" w:type="dxa"/>
          </w:tcPr>
          <w:p w:rsidR="00B51E2A" w:rsidRPr="00683FBA" w:rsidRDefault="00B51E2A" w:rsidP="006D3292">
            <w:pPr>
              <w:pStyle w:val="BodyTextIndent"/>
              <w:ind w:left="0"/>
            </w:pPr>
            <w:r w:rsidRPr="00683FBA">
              <w:t>Master’s degree/</w:t>
            </w:r>
          </w:p>
          <w:p w:rsidR="00B51E2A" w:rsidRPr="00683FBA" w:rsidRDefault="00B51E2A" w:rsidP="006D3292">
            <w:pPr>
              <w:pStyle w:val="BodyTextIndent"/>
              <w:ind w:left="0"/>
            </w:pPr>
            <w:r w:rsidRPr="00683FBA">
              <w:t>Post-graduate diploma</w:t>
            </w:r>
          </w:p>
        </w:tc>
      </w:tr>
      <w:tr w:rsidR="00B51E2A" w:rsidRPr="00683FBA" w:rsidTr="006D3292">
        <w:tc>
          <w:tcPr>
            <w:tcW w:w="567" w:type="dxa"/>
          </w:tcPr>
          <w:p w:rsidR="00B51E2A" w:rsidRPr="00683FBA" w:rsidRDefault="00B51E2A" w:rsidP="003A7ED2">
            <w:pPr>
              <w:pStyle w:val="BodyTextIndent"/>
              <w:numPr>
                <w:ilvl w:val="0"/>
                <w:numId w:val="6"/>
              </w:numPr>
              <w:spacing w:after="200"/>
            </w:pPr>
          </w:p>
        </w:tc>
        <w:tc>
          <w:tcPr>
            <w:tcW w:w="3260" w:type="dxa"/>
          </w:tcPr>
          <w:p w:rsidR="00B51E2A" w:rsidRPr="00683FBA" w:rsidRDefault="00B51E2A" w:rsidP="006D3292">
            <w:pPr>
              <w:pStyle w:val="BodyTextIndent"/>
              <w:spacing w:after="200"/>
              <w:ind w:left="0"/>
            </w:pPr>
            <w:r w:rsidRPr="00683FBA">
              <w:t>THEORY COURSES</w:t>
            </w:r>
          </w:p>
        </w:tc>
        <w:tc>
          <w:tcPr>
            <w:tcW w:w="2191" w:type="dxa"/>
          </w:tcPr>
          <w:p w:rsidR="00B51E2A" w:rsidRPr="00683FBA" w:rsidRDefault="00B51E2A" w:rsidP="006D3292">
            <w:pPr>
              <w:pStyle w:val="BodyTextIndent"/>
              <w:spacing w:after="200"/>
              <w:ind w:left="0"/>
            </w:pPr>
            <w:r w:rsidRPr="00683FBA">
              <w:t> </w:t>
            </w:r>
          </w:p>
        </w:tc>
        <w:tc>
          <w:tcPr>
            <w:tcW w:w="2191" w:type="dxa"/>
          </w:tcPr>
          <w:p w:rsidR="00B51E2A" w:rsidRPr="00683FBA" w:rsidRDefault="00B51E2A" w:rsidP="006D3292">
            <w:pPr>
              <w:pStyle w:val="BodyTextIndent"/>
              <w:spacing w:after="200"/>
              <w:ind w:left="0"/>
            </w:pPr>
            <w:r w:rsidRPr="00683FBA">
              <w:t> </w:t>
            </w:r>
          </w:p>
        </w:tc>
      </w:tr>
      <w:tr w:rsidR="00B51E2A" w:rsidRPr="00683FBA" w:rsidTr="006D3292">
        <w:tc>
          <w:tcPr>
            <w:tcW w:w="567" w:type="dxa"/>
          </w:tcPr>
          <w:p w:rsidR="00B51E2A" w:rsidRPr="00683FBA" w:rsidRDefault="00B51E2A" w:rsidP="006D3292">
            <w:pPr>
              <w:pStyle w:val="BodyTextIndent"/>
              <w:spacing w:after="200"/>
              <w:ind w:left="0"/>
            </w:pPr>
            <w:r w:rsidRPr="00683FBA">
              <w:t> </w:t>
            </w:r>
          </w:p>
        </w:tc>
        <w:tc>
          <w:tcPr>
            <w:tcW w:w="3260" w:type="dxa"/>
          </w:tcPr>
          <w:p w:rsidR="00B51E2A" w:rsidRPr="00683FBA" w:rsidRDefault="00B51E2A" w:rsidP="006D3292">
            <w:pPr>
              <w:pStyle w:val="BodyTextIndent"/>
              <w:spacing w:after="200"/>
              <w:ind w:left="394" w:hanging="394"/>
            </w:pPr>
            <w:r w:rsidRPr="00683FBA">
              <w:t> (</w:t>
            </w:r>
            <w:proofErr w:type="spellStart"/>
            <w:r w:rsidRPr="00683FBA">
              <w:t>i</w:t>
            </w:r>
            <w:proofErr w:type="spellEnd"/>
            <w:r w:rsidRPr="00683FBA">
              <w:t>) Semester-end examination</w:t>
            </w:r>
          </w:p>
        </w:tc>
        <w:tc>
          <w:tcPr>
            <w:tcW w:w="2191" w:type="dxa"/>
          </w:tcPr>
          <w:p w:rsidR="00B51E2A" w:rsidRPr="00683FBA" w:rsidRDefault="00B51E2A" w:rsidP="006D3292">
            <w:pPr>
              <w:pStyle w:val="BodyTextIndent"/>
              <w:spacing w:after="200"/>
              <w:ind w:left="0"/>
              <w:jc w:val="center"/>
            </w:pPr>
            <w:r w:rsidRPr="00683FBA">
              <w:t>75%</w:t>
            </w:r>
          </w:p>
        </w:tc>
        <w:tc>
          <w:tcPr>
            <w:tcW w:w="2191" w:type="dxa"/>
          </w:tcPr>
          <w:p w:rsidR="00B51E2A" w:rsidRPr="00683FBA" w:rsidRDefault="00B51E2A" w:rsidP="006D3292">
            <w:pPr>
              <w:pStyle w:val="BodyTextIndent"/>
              <w:spacing w:after="200"/>
              <w:ind w:left="0"/>
              <w:jc w:val="center"/>
            </w:pPr>
            <w:r w:rsidRPr="00683FBA">
              <w:t>60%</w:t>
            </w:r>
          </w:p>
        </w:tc>
      </w:tr>
      <w:tr w:rsidR="00B51E2A" w:rsidRPr="00683FBA" w:rsidTr="006D3292">
        <w:tc>
          <w:tcPr>
            <w:tcW w:w="567" w:type="dxa"/>
          </w:tcPr>
          <w:p w:rsidR="00B51E2A" w:rsidRPr="00683FBA" w:rsidRDefault="00B51E2A" w:rsidP="006D3292">
            <w:pPr>
              <w:pStyle w:val="BodyTextIndent"/>
              <w:spacing w:after="200"/>
              <w:ind w:left="0"/>
            </w:pPr>
            <w:r w:rsidRPr="00683FBA">
              <w:t> </w:t>
            </w:r>
          </w:p>
        </w:tc>
        <w:tc>
          <w:tcPr>
            <w:tcW w:w="3260" w:type="dxa"/>
          </w:tcPr>
          <w:p w:rsidR="00B51E2A" w:rsidRPr="00683FBA" w:rsidRDefault="00B51E2A" w:rsidP="006D3292">
            <w:pPr>
              <w:pStyle w:val="BodyTextIndent"/>
              <w:spacing w:after="200"/>
              <w:ind w:left="394" w:hanging="394"/>
            </w:pPr>
            <w:r w:rsidRPr="00683FBA">
              <w:t>(ii) Continuous evaluation by the teachers</w:t>
            </w:r>
          </w:p>
        </w:tc>
        <w:tc>
          <w:tcPr>
            <w:tcW w:w="2191" w:type="dxa"/>
          </w:tcPr>
          <w:p w:rsidR="00B51E2A" w:rsidRPr="00683FBA" w:rsidRDefault="00B51E2A" w:rsidP="006D3292">
            <w:pPr>
              <w:pStyle w:val="BodyTextIndent"/>
              <w:spacing w:after="200"/>
              <w:ind w:left="0"/>
              <w:jc w:val="center"/>
            </w:pPr>
            <w:r w:rsidRPr="00683FBA">
              <w:t>25%</w:t>
            </w:r>
          </w:p>
        </w:tc>
        <w:tc>
          <w:tcPr>
            <w:tcW w:w="2191" w:type="dxa"/>
          </w:tcPr>
          <w:p w:rsidR="00B51E2A" w:rsidRPr="00683FBA" w:rsidRDefault="00B51E2A" w:rsidP="006D3292">
            <w:pPr>
              <w:pStyle w:val="BodyTextIndent"/>
              <w:spacing w:after="200"/>
              <w:ind w:left="0"/>
              <w:jc w:val="center"/>
            </w:pPr>
            <w:r w:rsidRPr="00683FBA">
              <w:t>40%</w:t>
            </w:r>
          </w:p>
        </w:tc>
      </w:tr>
      <w:tr w:rsidR="00B51E2A" w:rsidRPr="00683FBA" w:rsidTr="006D3292">
        <w:tc>
          <w:tcPr>
            <w:tcW w:w="3827" w:type="dxa"/>
            <w:gridSpan w:val="2"/>
          </w:tcPr>
          <w:p w:rsidR="00B51E2A" w:rsidRPr="00683FBA" w:rsidRDefault="00B51E2A" w:rsidP="006D3292">
            <w:pPr>
              <w:pStyle w:val="BodyTextIndent"/>
              <w:spacing w:after="200"/>
              <w:ind w:left="0"/>
            </w:pPr>
            <w:r w:rsidRPr="00683FBA">
              <w:t> Taking this into account,</w:t>
            </w:r>
          </w:p>
        </w:tc>
        <w:tc>
          <w:tcPr>
            <w:tcW w:w="2191" w:type="dxa"/>
          </w:tcPr>
          <w:p w:rsidR="00B51E2A" w:rsidRPr="00683FBA" w:rsidRDefault="00B51E2A" w:rsidP="006D3292">
            <w:pPr>
              <w:pStyle w:val="BodyTextIndent"/>
              <w:spacing w:after="200"/>
              <w:ind w:left="0"/>
              <w:jc w:val="center"/>
            </w:pPr>
          </w:p>
        </w:tc>
        <w:tc>
          <w:tcPr>
            <w:tcW w:w="2191" w:type="dxa"/>
          </w:tcPr>
          <w:p w:rsidR="00B51E2A" w:rsidRPr="00683FBA" w:rsidRDefault="00B51E2A" w:rsidP="006D3292">
            <w:pPr>
              <w:pStyle w:val="BodyTextIndent"/>
              <w:spacing w:after="200"/>
              <w:ind w:left="0"/>
              <w:jc w:val="center"/>
            </w:pPr>
          </w:p>
        </w:tc>
      </w:tr>
      <w:tr w:rsidR="00B51E2A" w:rsidRPr="00683FBA" w:rsidTr="006D3292">
        <w:tc>
          <w:tcPr>
            <w:tcW w:w="567" w:type="dxa"/>
          </w:tcPr>
          <w:p w:rsidR="00B51E2A" w:rsidRPr="00683FBA" w:rsidRDefault="00B51E2A" w:rsidP="003A7ED2">
            <w:pPr>
              <w:pStyle w:val="BodyTextIndent"/>
              <w:numPr>
                <w:ilvl w:val="0"/>
                <w:numId w:val="6"/>
              </w:numPr>
              <w:spacing w:after="200"/>
              <w:ind w:left="0" w:right="-114" w:firstLine="0"/>
              <w:jc w:val="left"/>
            </w:pPr>
          </w:p>
        </w:tc>
        <w:tc>
          <w:tcPr>
            <w:tcW w:w="3260" w:type="dxa"/>
          </w:tcPr>
          <w:p w:rsidR="00B51E2A" w:rsidRPr="00683FBA" w:rsidRDefault="00B51E2A" w:rsidP="006D3292">
            <w:pPr>
              <w:pStyle w:val="BodyTextIndent"/>
              <w:spacing w:after="200"/>
              <w:ind w:left="0"/>
            </w:pPr>
            <w:r w:rsidRPr="00683FBA">
              <w:t> PRACTICAL/LABORATORY COURSES</w:t>
            </w:r>
          </w:p>
        </w:tc>
        <w:tc>
          <w:tcPr>
            <w:tcW w:w="2191" w:type="dxa"/>
          </w:tcPr>
          <w:p w:rsidR="00B51E2A" w:rsidRPr="00683FBA" w:rsidRDefault="00B51E2A" w:rsidP="006D3292">
            <w:pPr>
              <w:pStyle w:val="BodyTextIndent"/>
              <w:spacing w:after="200"/>
              <w:ind w:left="0"/>
              <w:jc w:val="center"/>
            </w:pPr>
          </w:p>
        </w:tc>
        <w:tc>
          <w:tcPr>
            <w:tcW w:w="2191" w:type="dxa"/>
          </w:tcPr>
          <w:p w:rsidR="00B51E2A" w:rsidRPr="00683FBA" w:rsidRDefault="00B51E2A" w:rsidP="006D3292">
            <w:pPr>
              <w:pStyle w:val="BodyTextIndent"/>
              <w:spacing w:after="200"/>
              <w:ind w:left="0"/>
              <w:jc w:val="center"/>
            </w:pPr>
          </w:p>
        </w:tc>
      </w:tr>
      <w:tr w:rsidR="00B51E2A" w:rsidRPr="00683FBA" w:rsidTr="006D3292">
        <w:tc>
          <w:tcPr>
            <w:tcW w:w="567" w:type="dxa"/>
          </w:tcPr>
          <w:p w:rsidR="00B51E2A" w:rsidRPr="00683FBA" w:rsidRDefault="00B51E2A" w:rsidP="006D3292">
            <w:pPr>
              <w:pStyle w:val="BodyTextIndent"/>
              <w:spacing w:after="200"/>
              <w:ind w:left="0" w:right="-114"/>
              <w:jc w:val="left"/>
            </w:pPr>
          </w:p>
        </w:tc>
        <w:tc>
          <w:tcPr>
            <w:tcW w:w="3260" w:type="dxa"/>
          </w:tcPr>
          <w:p w:rsidR="00B51E2A" w:rsidRPr="00683FBA" w:rsidRDefault="00B51E2A" w:rsidP="006D3292">
            <w:pPr>
              <w:pStyle w:val="BodyTextIndent"/>
              <w:spacing w:after="200"/>
              <w:ind w:left="394" w:hanging="394"/>
            </w:pPr>
            <w:r w:rsidRPr="00683FBA">
              <w:t> (</w:t>
            </w:r>
            <w:proofErr w:type="spellStart"/>
            <w:r w:rsidRPr="00683FBA">
              <w:t>i</w:t>
            </w:r>
            <w:proofErr w:type="spellEnd"/>
            <w:r w:rsidRPr="00683FBA">
              <w:t>) Semester-end examination</w:t>
            </w:r>
          </w:p>
        </w:tc>
        <w:tc>
          <w:tcPr>
            <w:tcW w:w="2191" w:type="dxa"/>
          </w:tcPr>
          <w:p w:rsidR="00B51E2A" w:rsidRPr="00683FBA" w:rsidRDefault="00B51E2A" w:rsidP="006D3292">
            <w:pPr>
              <w:pStyle w:val="BodyTextIndent"/>
              <w:spacing w:after="200"/>
              <w:ind w:left="0"/>
              <w:jc w:val="center"/>
            </w:pPr>
            <w:r w:rsidRPr="00683FBA">
              <w:t>60%</w:t>
            </w:r>
          </w:p>
        </w:tc>
        <w:tc>
          <w:tcPr>
            <w:tcW w:w="2191" w:type="dxa"/>
          </w:tcPr>
          <w:p w:rsidR="00B51E2A" w:rsidRPr="00683FBA" w:rsidRDefault="00B51E2A" w:rsidP="006D3292">
            <w:pPr>
              <w:pStyle w:val="BodyTextIndent"/>
              <w:spacing w:after="200"/>
              <w:ind w:left="0"/>
              <w:jc w:val="center"/>
            </w:pPr>
            <w:r w:rsidRPr="00683FBA">
              <w:t>60%</w:t>
            </w:r>
          </w:p>
        </w:tc>
      </w:tr>
      <w:tr w:rsidR="00B51E2A" w:rsidRPr="00683FBA" w:rsidTr="006D3292">
        <w:tc>
          <w:tcPr>
            <w:tcW w:w="567" w:type="dxa"/>
          </w:tcPr>
          <w:p w:rsidR="00B51E2A" w:rsidRPr="00683FBA" w:rsidRDefault="00B51E2A" w:rsidP="006D3292">
            <w:pPr>
              <w:pStyle w:val="BodyTextIndent"/>
              <w:spacing w:after="200"/>
              <w:ind w:left="0" w:right="-114"/>
              <w:jc w:val="left"/>
            </w:pPr>
          </w:p>
        </w:tc>
        <w:tc>
          <w:tcPr>
            <w:tcW w:w="3260" w:type="dxa"/>
          </w:tcPr>
          <w:p w:rsidR="00B51E2A" w:rsidRPr="00683FBA" w:rsidRDefault="00B51E2A" w:rsidP="006D3292">
            <w:pPr>
              <w:pStyle w:val="BodyTextIndent"/>
              <w:spacing w:after="200"/>
              <w:ind w:left="394" w:hanging="394"/>
            </w:pPr>
            <w:r w:rsidRPr="00683FBA">
              <w:t>(ii) Continuous evolution by the teachers</w:t>
            </w:r>
          </w:p>
        </w:tc>
        <w:tc>
          <w:tcPr>
            <w:tcW w:w="2191" w:type="dxa"/>
          </w:tcPr>
          <w:p w:rsidR="00B51E2A" w:rsidRPr="00683FBA" w:rsidRDefault="00B51E2A" w:rsidP="006D3292">
            <w:pPr>
              <w:pStyle w:val="BodyTextIndent"/>
              <w:spacing w:after="200"/>
              <w:ind w:left="0"/>
              <w:jc w:val="center"/>
            </w:pPr>
            <w:r w:rsidRPr="00683FBA">
              <w:t>40%</w:t>
            </w:r>
          </w:p>
        </w:tc>
        <w:tc>
          <w:tcPr>
            <w:tcW w:w="2191" w:type="dxa"/>
          </w:tcPr>
          <w:p w:rsidR="00B51E2A" w:rsidRPr="00683FBA" w:rsidRDefault="00B51E2A" w:rsidP="006D3292">
            <w:pPr>
              <w:pStyle w:val="BodyTextIndent"/>
              <w:spacing w:after="200"/>
              <w:ind w:left="0"/>
              <w:jc w:val="center"/>
            </w:pPr>
            <w:r w:rsidRPr="00683FBA">
              <w:t>40%</w:t>
            </w:r>
          </w:p>
        </w:tc>
      </w:tr>
      <w:tr w:rsidR="00B51E2A" w:rsidRPr="00683FBA" w:rsidTr="006D3292">
        <w:tc>
          <w:tcPr>
            <w:tcW w:w="567" w:type="dxa"/>
          </w:tcPr>
          <w:p w:rsidR="00B51E2A" w:rsidRPr="00683FBA" w:rsidRDefault="00B51E2A" w:rsidP="003A7ED2">
            <w:pPr>
              <w:pStyle w:val="BodyTextIndent"/>
              <w:numPr>
                <w:ilvl w:val="0"/>
                <w:numId w:val="6"/>
              </w:numPr>
              <w:spacing w:after="200"/>
              <w:ind w:left="0" w:right="-114" w:firstLine="0"/>
              <w:jc w:val="left"/>
            </w:pPr>
          </w:p>
        </w:tc>
        <w:tc>
          <w:tcPr>
            <w:tcW w:w="3260" w:type="dxa"/>
          </w:tcPr>
          <w:p w:rsidR="00B51E2A" w:rsidRPr="00683FBA" w:rsidRDefault="00B51E2A" w:rsidP="006D3292">
            <w:pPr>
              <w:pStyle w:val="BodyTextIndent"/>
              <w:spacing w:after="200"/>
              <w:ind w:left="0"/>
            </w:pPr>
            <w:r w:rsidRPr="00683FBA">
              <w:t> DISSERTATION/THESIS</w:t>
            </w:r>
          </w:p>
        </w:tc>
        <w:tc>
          <w:tcPr>
            <w:tcW w:w="2191" w:type="dxa"/>
          </w:tcPr>
          <w:p w:rsidR="00B51E2A" w:rsidRPr="00683FBA" w:rsidRDefault="00B51E2A" w:rsidP="006D3292">
            <w:pPr>
              <w:pStyle w:val="BodyTextIndent"/>
              <w:spacing w:after="200"/>
              <w:ind w:left="0"/>
              <w:jc w:val="center"/>
            </w:pPr>
          </w:p>
        </w:tc>
        <w:tc>
          <w:tcPr>
            <w:tcW w:w="2191" w:type="dxa"/>
          </w:tcPr>
          <w:p w:rsidR="00B51E2A" w:rsidRPr="00683FBA" w:rsidRDefault="00B51E2A" w:rsidP="006D3292">
            <w:pPr>
              <w:pStyle w:val="BodyTextIndent"/>
              <w:spacing w:after="200"/>
              <w:ind w:left="0"/>
              <w:jc w:val="center"/>
            </w:pPr>
          </w:p>
        </w:tc>
      </w:tr>
      <w:tr w:rsidR="00B51E2A" w:rsidRPr="00683FBA" w:rsidTr="006D3292">
        <w:tc>
          <w:tcPr>
            <w:tcW w:w="567" w:type="dxa"/>
          </w:tcPr>
          <w:p w:rsidR="00B51E2A" w:rsidRPr="00683FBA" w:rsidRDefault="00B51E2A" w:rsidP="006D3292">
            <w:pPr>
              <w:pStyle w:val="BodyTextIndent"/>
              <w:spacing w:after="200"/>
              <w:ind w:left="0" w:right="-114"/>
              <w:jc w:val="left"/>
            </w:pPr>
          </w:p>
        </w:tc>
        <w:tc>
          <w:tcPr>
            <w:tcW w:w="3260" w:type="dxa"/>
          </w:tcPr>
          <w:p w:rsidR="00B51E2A" w:rsidRPr="00683FBA" w:rsidRDefault="00B51E2A" w:rsidP="006D3292">
            <w:pPr>
              <w:pStyle w:val="BodyTextIndent"/>
              <w:spacing w:after="200"/>
              <w:ind w:left="514" w:hanging="514"/>
            </w:pPr>
            <w:r w:rsidRPr="00683FBA">
              <w:t> (</w:t>
            </w:r>
            <w:proofErr w:type="spellStart"/>
            <w:r w:rsidRPr="00683FBA">
              <w:t>i</w:t>
            </w:r>
            <w:proofErr w:type="spellEnd"/>
            <w:r w:rsidRPr="00683FBA">
              <w:t>) Assessment by External Examiner</w:t>
            </w:r>
          </w:p>
        </w:tc>
        <w:tc>
          <w:tcPr>
            <w:tcW w:w="2191" w:type="dxa"/>
          </w:tcPr>
          <w:p w:rsidR="00B51E2A" w:rsidRPr="00683FBA" w:rsidRDefault="00B51E2A" w:rsidP="006D3292">
            <w:pPr>
              <w:pStyle w:val="BodyTextIndent"/>
              <w:spacing w:after="200"/>
              <w:ind w:left="0"/>
              <w:jc w:val="center"/>
            </w:pPr>
            <w:r w:rsidRPr="00683FBA">
              <w:t>-</w:t>
            </w:r>
          </w:p>
        </w:tc>
        <w:tc>
          <w:tcPr>
            <w:tcW w:w="2191" w:type="dxa"/>
          </w:tcPr>
          <w:p w:rsidR="00B51E2A" w:rsidRPr="00683FBA" w:rsidRDefault="00B51E2A" w:rsidP="006D3292">
            <w:pPr>
              <w:pStyle w:val="BodyTextIndent"/>
              <w:spacing w:after="200"/>
              <w:ind w:left="0"/>
              <w:jc w:val="center"/>
            </w:pPr>
            <w:r w:rsidRPr="00683FBA">
              <w:t>60%</w:t>
            </w:r>
          </w:p>
        </w:tc>
      </w:tr>
      <w:tr w:rsidR="00B51E2A" w:rsidRPr="00683FBA" w:rsidTr="006D3292">
        <w:tc>
          <w:tcPr>
            <w:tcW w:w="567" w:type="dxa"/>
          </w:tcPr>
          <w:p w:rsidR="00B51E2A" w:rsidRPr="00683FBA" w:rsidRDefault="00B51E2A" w:rsidP="006D3292">
            <w:pPr>
              <w:pStyle w:val="BodyTextIndent"/>
              <w:spacing w:after="200"/>
              <w:ind w:left="0" w:right="-114"/>
              <w:jc w:val="left"/>
            </w:pPr>
          </w:p>
        </w:tc>
        <w:tc>
          <w:tcPr>
            <w:tcW w:w="3260" w:type="dxa"/>
          </w:tcPr>
          <w:p w:rsidR="00B51E2A" w:rsidRPr="00683FBA" w:rsidRDefault="00B51E2A" w:rsidP="006D3292">
            <w:pPr>
              <w:pStyle w:val="BodyTextIndent"/>
              <w:spacing w:after="200"/>
              <w:ind w:left="514" w:hanging="514"/>
            </w:pPr>
            <w:r w:rsidRPr="00683FBA">
              <w:t>(ii) Assessment by Internal Examiner</w:t>
            </w:r>
          </w:p>
        </w:tc>
        <w:tc>
          <w:tcPr>
            <w:tcW w:w="2191" w:type="dxa"/>
          </w:tcPr>
          <w:p w:rsidR="00B51E2A" w:rsidRPr="00683FBA" w:rsidRDefault="00B51E2A" w:rsidP="006D3292">
            <w:pPr>
              <w:pStyle w:val="BodyTextIndent"/>
              <w:spacing w:after="200"/>
              <w:ind w:left="0"/>
              <w:jc w:val="center"/>
            </w:pPr>
            <w:r w:rsidRPr="00683FBA">
              <w:t>--</w:t>
            </w:r>
          </w:p>
        </w:tc>
        <w:tc>
          <w:tcPr>
            <w:tcW w:w="2191" w:type="dxa"/>
          </w:tcPr>
          <w:p w:rsidR="00B51E2A" w:rsidRPr="00683FBA" w:rsidRDefault="00B51E2A" w:rsidP="006D3292">
            <w:pPr>
              <w:pStyle w:val="BodyTextIndent"/>
              <w:spacing w:after="200"/>
              <w:ind w:left="0"/>
              <w:jc w:val="center"/>
            </w:pPr>
            <w:r w:rsidRPr="00683FBA">
              <w:t>40%</w:t>
            </w:r>
          </w:p>
        </w:tc>
      </w:tr>
      <w:tr w:rsidR="00B51E2A" w:rsidRPr="00683FBA" w:rsidTr="006D3292">
        <w:tc>
          <w:tcPr>
            <w:tcW w:w="567" w:type="dxa"/>
          </w:tcPr>
          <w:p w:rsidR="00B51E2A" w:rsidRPr="00683FBA" w:rsidRDefault="00B51E2A" w:rsidP="003A7ED2">
            <w:pPr>
              <w:pStyle w:val="BodyTextIndent"/>
              <w:numPr>
                <w:ilvl w:val="0"/>
                <w:numId w:val="6"/>
              </w:numPr>
              <w:spacing w:after="200"/>
              <w:ind w:left="0" w:right="-114" w:firstLine="0"/>
              <w:jc w:val="left"/>
            </w:pPr>
          </w:p>
        </w:tc>
        <w:tc>
          <w:tcPr>
            <w:tcW w:w="7642" w:type="dxa"/>
            <w:gridSpan w:val="3"/>
          </w:tcPr>
          <w:p w:rsidR="00B51E2A" w:rsidRPr="00683FBA" w:rsidRDefault="00B51E2A" w:rsidP="006D3292">
            <w:pPr>
              <w:pStyle w:val="BodyTextIndent"/>
              <w:spacing w:after="200"/>
              <w:ind w:left="0"/>
            </w:pPr>
            <w:r w:rsidRPr="00683FBA">
              <w:t xml:space="preserve"> For any other component of a programme not covered by the above, the </w:t>
            </w:r>
            <w:proofErr w:type="spellStart"/>
            <w:r w:rsidRPr="00683FBA">
              <w:t>weightage</w:t>
            </w:r>
            <w:proofErr w:type="spellEnd"/>
            <w:r w:rsidRPr="00683FBA">
              <w:t xml:space="preserve"> shall be prescribed by the Board of Studies / Programme Coordination Committee, with the approval of the Vice-Chancellor</w:t>
            </w:r>
          </w:p>
        </w:tc>
      </w:tr>
    </w:tbl>
    <w:p w:rsidR="00B51E2A" w:rsidRPr="00683FBA" w:rsidRDefault="00B51E2A" w:rsidP="00B51E2A">
      <w:pPr>
        <w:pStyle w:val="BodyTextIndent"/>
        <w:spacing w:after="200"/>
      </w:pPr>
      <w:r w:rsidRPr="00683FBA">
        <w:t xml:space="preserve"> (d)    Conduct of semester-end examinations </w:t>
      </w:r>
    </w:p>
    <w:p w:rsidR="00B51E2A" w:rsidRPr="00683FBA" w:rsidRDefault="00B51E2A" w:rsidP="00B51E2A">
      <w:pPr>
        <w:pStyle w:val="BodyTextIndent"/>
        <w:spacing w:after="200"/>
        <w:ind w:left="1440" w:hanging="480"/>
      </w:pPr>
      <w:r w:rsidRPr="00683FBA">
        <w:t> (</w:t>
      </w:r>
      <w:proofErr w:type="spellStart"/>
      <w:r w:rsidRPr="00683FBA">
        <w:t>i</w:t>
      </w:r>
      <w:proofErr w:type="spellEnd"/>
      <w:r w:rsidRPr="00683FBA">
        <w:t>)</w:t>
      </w:r>
      <w:r w:rsidRPr="00683FBA">
        <w:tab/>
        <w:t>All semester-end examinations shall be conducted by the Controller of Examinations.</w:t>
      </w:r>
    </w:p>
    <w:p w:rsidR="00B51E2A" w:rsidRPr="00683FBA" w:rsidRDefault="00B51E2A" w:rsidP="00B51E2A">
      <w:pPr>
        <w:pStyle w:val="BodyTextIndent"/>
        <w:spacing w:after="200"/>
        <w:ind w:left="1440" w:hanging="396"/>
      </w:pPr>
      <w:r w:rsidRPr="00683FBA">
        <w:t>(ii)   The schedule of examination shall be notified by the Controller of Examinations at least 10 days prior to the first day of the commencement of semester-end examinations.</w:t>
      </w:r>
    </w:p>
    <w:p w:rsidR="00B51E2A" w:rsidRPr="00683FBA" w:rsidRDefault="00B51E2A" w:rsidP="00B51E2A">
      <w:pPr>
        <w:pStyle w:val="BodyTextIndent"/>
        <w:spacing w:after="200"/>
        <w:ind w:left="1560" w:hanging="480"/>
      </w:pPr>
      <w:r w:rsidRPr="00683FBA">
        <w:t>(iii)  For theory as well as practical examinations and dissertation/thesis/project report/training report all examiners shall be appointed by the Controller of Examinations with the approval of the Vice-Chancellor.</w:t>
      </w:r>
    </w:p>
    <w:p w:rsidR="00B51E2A" w:rsidRPr="00683FBA" w:rsidRDefault="00B51E2A" w:rsidP="00B51E2A">
      <w:pPr>
        <w:pStyle w:val="BodyTextIndent"/>
        <w:spacing w:after="200"/>
        <w:ind w:left="1560"/>
      </w:pPr>
      <w:r w:rsidRPr="00683FBA">
        <w:t> Provided that the Vice-Chancellor may at his discretion, delegate his authority for approval of examiners.</w:t>
      </w:r>
    </w:p>
    <w:p w:rsidR="00B51E2A" w:rsidRPr="00683FBA" w:rsidRDefault="00B51E2A" w:rsidP="00B51E2A">
      <w:pPr>
        <w:pStyle w:val="BodyTextIndent"/>
        <w:spacing w:after="200"/>
        <w:ind w:left="1560"/>
      </w:pPr>
      <w:r w:rsidRPr="00683FBA">
        <w:t> For programmes being run in the University Schools, recommendations for names of examiners shall be obtained from the concerned Board of Studies through their respective Chairmen. Where there is an exigency and the Board of Studies cannot meet, the Chairman, Board of Studies may recommend the names, stating clearly why the meeting of Board of Studies could not be convened.</w:t>
      </w:r>
    </w:p>
    <w:p w:rsidR="00B51E2A" w:rsidRPr="00683FBA" w:rsidRDefault="00B51E2A" w:rsidP="00B51E2A">
      <w:pPr>
        <w:pStyle w:val="BodyTextIndent"/>
        <w:spacing w:after="200"/>
        <w:ind w:left="1560"/>
      </w:pPr>
      <w:r w:rsidRPr="00683FBA">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B51E2A" w:rsidRPr="00683FBA" w:rsidRDefault="00B51E2A" w:rsidP="00B51E2A">
      <w:pPr>
        <w:pStyle w:val="BodyTextIndent"/>
        <w:spacing w:after="200"/>
        <w:ind w:left="1560"/>
      </w:pPr>
      <w:r w:rsidRPr="00683FBA">
        <w:t xml:space="preserve"> In emergency situations, where, for some reason the recommendations cannot be obtained from the Board of Studies / Programme Coordination Committee as stipulated above, recommendations may be obtained from one of the Deans nominated by the Vice–Chancellor. </w:t>
      </w:r>
    </w:p>
    <w:p w:rsidR="00B51E2A" w:rsidRPr="00683FBA" w:rsidRDefault="00B51E2A" w:rsidP="00B51E2A">
      <w:pPr>
        <w:pStyle w:val="BodyTextIndent"/>
        <w:spacing w:after="200"/>
        <w:ind w:left="720"/>
      </w:pPr>
      <w:r w:rsidRPr="00683FBA">
        <w:t>(e)         Teacher’s Continuous Evaluation:</w:t>
      </w:r>
    </w:p>
    <w:tbl>
      <w:tblPr>
        <w:tblW w:w="8209" w:type="dxa"/>
        <w:tblInd w:w="959" w:type="dxa"/>
        <w:tblLook w:val="0000"/>
      </w:tblPr>
      <w:tblGrid>
        <w:gridCol w:w="567"/>
        <w:gridCol w:w="3260"/>
        <w:gridCol w:w="2191"/>
        <w:gridCol w:w="2191"/>
      </w:tblGrid>
      <w:tr w:rsidR="00B51E2A" w:rsidRPr="00683FBA" w:rsidTr="006D3292">
        <w:trPr>
          <w:cantSplit/>
        </w:trPr>
        <w:tc>
          <w:tcPr>
            <w:tcW w:w="567" w:type="dxa"/>
            <w:vMerge w:val="restart"/>
          </w:tcPr>
          <w:p w:rsidR="00B51E2A" w:rsidRPr="00683FBA" w:rsidRDefault="00B51E2A" w:rsidP="006D3292">
            <w:pPr>
              <w:pStyle w:val="BodyTextIndent"/>
              <w:spacing w:after="200"/>
              <w:ind w:left="0"/>
              <w:rPr>
                <w:b/>
                <w:bCs/>
              </w:rPr>
            </w:pPr>
            <w:r w:rsidRPr="00683FBA">
              <w:lastRenderedPageBreak/>
              <w:t>  </w:t>
            </w:r>
          </w:p>
        </w:tc>
        <w:tc>
          <w:tcPr>
            <w:tcW w:w="3260" w:type="dxa"/>
            <w:vMerge w:val="restart"/>
          </w:tcPr>
          <w:p w:rsidR="00B51E2A" w:rsidRPr="00683FBA" w:rsidRDefault="00B51E2A" w:rsidP="006D3292">
            <w:pPr>
              <w:pStyle w:val="BodyTextIndent"/>
              <w:spacing w:after="200"/>
              <w:ind w:left="0"/>
              <w:rPr>
                <w:b/>
                <w:bCs/>
              </w:rPr>
            </w:pPr>
            <w:r w:rsidRPr="00683FBA">
              <w:rPr>
                <w:b/>
                <w:bCs/>
              </w:rPr>
              <w:t> </w:t>
            </w:r>
          </w:p>
          <w:p w:rsidR="00B51E2A" w:rsidRPr="00683FBA" w:rsidRDefault="00B51E2A" w:rsidP="006D3292">
            <w:pPr>
              <w:pStyle w:val="BodyTextIndent"/>
              <w:spacing w:after="200"/>
              <w:ind w:left="0"/>
              <w:rPr>
                <w:b/>
                <w:bCs/>
              </w:rPr>
            </w:pPr>
            <w:r w:rsidRPr="00683FBA">
              <w:rPr>
                <w:b/>
                <w:bCs/>
              </w:rPr>
              <w:t>COURSE COMPONENTS</w:t>
            </w:r>
          </w:p>
        </w:tc>
        <w:tc>
          <w:tcPr>
            <w:tcW w:w="4382" w:type="dxa"/>
            <w:gridSpan w:val="2"/>
          </w:tcPr>
          <w:p w:rsidR="00B51E2A" w:rsidRPr="00683FBA" w:rsidRDefault="00B51E2A" w:rsidP="006D3292">
            <w:pPr>
              <w:pStyle w:val="BodyTextIndent"/>
              <w:spacing w:after="200"/>
              <w:ind w:left="0"/>
              <w:jc w:val="center"/>
              <w:rPr>
                <w:b/>
                <w:bCs/>
              </w:rPr>
            </w:pPr>
            <w:r w:rsidRPr="00683FBA">
              <w:rPr>
                <w:b/>
                <w:bCs/>
              </w:rPr>
              <w:t>APPORTIONED MARKS</w:t>
            </w:r>
          </w:p>
        </w:tc>
      </w:tr>
      <w:tr w:rsidR="00B51E2A" w:rsidRPr="00683FBA" w:rsidTr="006D3292">
        <w:trPr>
          <w:cantSplit/>
        </w:trPr>
        <w:tc>
          <w:tcPr>
            <w:tcW w:w="0" w:type="auto"/>
            <w:vMerge/>
            <w:vAlign w:val="center"/>
          </w:tcPr>
          <w:p w:rsidR="00B51E2A" w:rsidRPr="00683FBA" w:rsidRDefault="00B51E2A" w:rsidP="006D3292">
            <w:pPr>
              <w:spacing w:line="240" w:lineRule="auto"/>
              <w:rPr>
                <w:rFonts w:ascii="Times New Roman" w:hAnsi="Times New Roman" w:cs="Times New Roman"/>
                <w:b/>
                <w:bCs/>
                <w:sz w:val="24"/>
                <w:szCs w:val="24"/>
              </w:rPr>
            </w:pPr>
          </w:p>
        </w:tc>
        <w:tc>
          <w:tcPr>
            <w:tcW w:w="0" w:type="auto"/>
            <w:vMerge/>
            <w:vAlign w:val="center"/>
          </w:tcPr>
          <w:p w:rsidR="00B51E2A" w:rsidRPr="00683FBA" w:rsidRDefault="00B51E2A" w:rsidP="006D3292">
            <w:pPr>
              <w:spacing w:line="240" w:lineRule="auto"/>
              <w:rPr>
                <w:rFonts w:ascii="Times New Roman" w:hAnsi="Times New Roman" w:cs="Times New Roman"/>
                <w:b/>
                <w:bCs/>
                <w:sz w:val="24"/>
                <w:szCs w:val="24"/>
              </w:rPr>
            </w:pPr>
          </w:p>
        </w:tc>
        <w:tc>
          <w:tcPr>
            <w:tcW w:w="2191" w:type="dxa"/>
          </w:tcPr>
          <w:p w:rsidR="00B51E2A" w:rsidRPr="00683FBA" w:rsidRDefault="00B51E2A" w:rsidP="006D3292">
            <w:pPr>
              <w:pStyle w:val="BodyTextIndent"/>
              <w:ind w:left="0"/>
              <w:jc w:val="center"/>
              <w:rPr>
                <w:b/>
                <w:bCs/>
              </w:rPr>
            </w:pPr>
            <w:r w:rsidRPr="00683FBA">
              <w:rPr>
                <w:b/>
                <w:bCs/>
              </w:rPr>
              <w:t>Bachelor’s degree/</w:t>
            </w:r>
          </w:p>
          <w:p w:rsidR="00B51E2A" w:rsidRPr="00683FBA" w:rsidRDefault="00B51E2A" w:rsidP="006D3292">
            <w:pPr>
              <w:pStyle w:val="BodyTextIndent"/>
              <w:ind w:left="0"/>
              <w:jc w:val="center"/>
              <w:rPr>
                <w:b/>
                <w:bCs/>
              </w:rPr>
            </w:pPr>
            <w:r w:rsidRPr="00683FBA">
              <w:rPr>
                <w:b/>
                <w:bCs/>
              </w:rPr>
              <w:t>Under-graduate diploma</w:t>
            </w:r>
          </w:p>
        </w:tc>
        <w:tc>
          <w:tcPr>
            <w:tcW w:w="2191" w:type="dxa"/>
          </w:tcPr>
          <w:p w:rsidR="00B51E2A" w:rsidRPr="00683FBA" w:rsidRDefault="00B51E2A" w:rsidP="006D3292">
            <w:pPr>
              <w:pStyle w:val="BodyTextIndent"/>
              <w:ind w:left="0"/>
              <w:jc w:val="center"/>
              <w:rPr>
                <w:b/>
                <w:bCs/>
              </w:rPr>
            </w:pPr>
            <w:r w:rsidRPr="00683FBA">
              <w:rPr>
                <w:b/>
                <w:bCs/>
              </w:rPr>
              <w:t>Master’s degree/</w:t>
            </w:r>
          </w:p>
          <w:p w:rsidR="00B51E2A" w:rsidRPr="00683FBA" w:rsidRDefault="00B51E2A" w:rsidP="006D3292">
            <w:pPr>
              <w:pStyle w:val="BodyTextIndent"/>
              <w:ind w:left="0"/>
              <w:jc w:val="center"/>
              <w:rPr>
                <w:b/>
                <w:bCs/>
              </w:rPr>
            </w:pPr>
            <w:r w:rsidRPr="00683FBA">
              <w:rPr>
                <w:b/>
                <w:bCs/>
              </w:rPr>
              <w:t>Post-graduate diploma</w:t>
            </w:r>
          </w:p>
        </w:tc>
      </w:tr>
      <w:tr w:rsidR="00B51E2A" w:rsidRPr="00683FBA" w:rsidTr="006D3292">
        <w:tc>
          <w:tcPr>
            <w:tcW w:w="567" w:type="dxa"/>
          </w:tcPr>
          <w:p w:rsidR="00B51E2A" w:rsidRPr="00683FBA" w:rsidRDefault="00B51E2A" w:rsidP="006D3292">
            <w:pPr>
              <w:pStyle w:val="BodyTextIndent"/>
              <w:spacing w:after="200"/>
              <w:ind w:left="0"/>
            </w:pPr>
            <w:r w:rsidRPr="00683FBA">
              <w:t>(</w:t>
            </w:r>
            <w:proofErr w:type="spellStart"/>
            <w:r w:rsidRPr="00683FBA">
              <w:t>i</w:t>
            </w:r>
            <w:proofErr w:type="spellEnd"/>
            <w:r w:rsidRPr="00683FBA">
              <w:t>)</w:t>
            </w:r>
          </w:p>
        </w:tc>
        <w:tc>
          <w:tcPr>
            <w:tcW w:w="3260" w:type="dxa"/>
          </w:tcPr>
          <w:p w:rsidR="00B51E2A" w:rsidRPr="00683FBA" w:rsidRDefault="00B51E2A" w:rsidP="006D3292">
            <w:pPr>
              <w:pStyle w:val="BodyTextIndent"/>
              <w:spacing w:after="200"/>
              <w:ind w:left="0"/>
            </w:pPr>
            <w:r w:rsidRPr="00683FBA">
              <w:t>Theory Courses: The teacher’s continuous evaluation shall be based on the following:</w:t>
            </w:r>
          </w:p>
          <w:p w:rsidR="00B51E2A" w:rsidRPr="00683FBA" w:rsidRDefault="00B51E2A" w:rsidP="003A7ED2">
            <w:pPr>
              <w:pStyle w:val="BodyTextIndent"/>
              <w:numPr>
                <w:ilvl w:val="0"/>
                <w:numId w:val="3"/>
              </w:numPr>
              <w:tabs>
                <w:tab w:val="clear" w:pos="720"/>
              </w:tabs>
              <w:spacing w:after="200"/>
              <w:ind w:left="601"/>
            </w:pPr>
            <w:r w:rsidRPr="00683FBA">
              <w:t>One Class Tests</w:t>
            </w:r>
            <w:r w:rsidRPr="00683FBA">
              <w:rPr>
                <w:b/>
                <w:bCs/>
              </w:rPr>
              <w:t>*</w:t>
            </w:r>
          </w:p>
          <w:p w:rsidR="00B51E2A" w:rsidRPr="00683FBA" w:rsidRDefault="00B51E2A" w:rsidP="003A7ED2">
            <w:pPr>
              <w:pStyle w:val="BodyTextIndent"/>
              <w:numPr>
                <w:ilvl w:val="0"/>
                <w:numId w:val="3"/>
              </w:numPr>
              <w:tabs>
                <w:tab w:val="clear" w:pos="720"/>
              </w:tabs>
              <w:spacing w:after="200"/>
              <w:ind w:left="601"/>
            </w:pPr>
            <w:r w:rsidRPr="00683FBA">
              <w:t>Assignment / Group Discussion / Viva-Voce / Additional Test / Quizzes / Regularity etc.</w:t>
            </w:r>
          </w:p>
        </w:tc>
        <w:tc>
          <w:tcPr>
            <w:tcW w:w="2191" w:type="dxa"/>
          </w:tcPr>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r w:rsidRPr="00683FBA">
              <w:t>20 Marks</w:t>
            </w:r>
          </w:p>
          <w:p w:rsidR="00B51E2A" w:rsidRPr="00683FBA" w:rsidRDefault="00B51E2A" w:rsidP="006D3292">
            <w:pPr>
              <w:pStyle w:val="BodyTextIndent"/>
              <w:spacing w:after="200"/>
              <w:ind w:left="0"/>
              <w:jc w:val="center"/>
            </w:pPr>
            <w:r w:rsidRPr="00683FBA">
              <w:t>05 Marks</w:t>
            </w:r>
          </w:p>
        </w:tc>
        <w:tc>
          <w:tcPr>
            <w:tcW w:w="2191" w:type="dxa"/>
          </w:tcPr>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p>
          <w:p w:rsidR="00B51E2A" w:rsidRPr="00683FBA" w:rsidRDefault="00B51E2A" w:rsidP="006D3292">
            <w:pPr>
              <w:pStyle w:val="BodyTextIndent"/>
              <w:spacing w:after="200"/>
              <w:ind w:left="0"/>
              <w:jc w:val="center"/>
            </w:pPr>
            <w:r w:rsidRPr="00683FBA">
              <w:t>30 Marks</w:t>
            </w:r>
          </w:p>
          <w:p w:rsidR="00B51E2A" w:rsidRPr="00683FBA" w:rsidRDefault="00B51E2A" w:rsidP="006D3292">
            <w:pPr>
              <w:pStyle w:val="BodyTextIndent"/>
              <w:spacing w:after="200"/>
              <w:ind w:left="0"/>
              <w:jc w:val="center"/>
            </w:pPr>
            <w:r w:rsidRPr="00683FBA">
              <w:t>10 Marks</w:t>
            </w:r>
          </w:p>
        </w:tc>
      </w:tr>
      <w:tr w:rsidR="00B51E2A" w:rsidRPr="00683FBA" w:rsidTr="006D3292">
        <w:tc>
          <w:tcPr>
            <w:tcW w:w="8209" w:type="dxa"/>
            <w:gridSpan w:val="4"/>
          </w:tcPr>
          <w:p w:rsidR="00B51E2A" w:rsidRDefault="00B51E2A" w:rsidP="006D3292">
            <w:pPr>
              <w:pStyle w:val="BodyTextIndent"/>
              <w:spacing w:after="200"/>
              <w:ind w:left="0"/>
            </w:pPr>
            <w:r w:rsidRPr="00683FBA">
              <w:rPr>
                <w:b/>
                <w:bCs/>
              </w:rPr>
              <w:t>*</w:t>
            </w:r>
            <w:r w:rsidRPr="00683FBA">
              <w:t>The class test shall ordinarily be held after the 8</w:t>
            </w:r>
            <w:r w:rsidRPr="00683FBA">
              <w:rPr>
                <w:vertAlign w:val="superscript"/>
              </w:rPr>
              <w:t>th</w:t>
            </w:r>
            <w:r w:rsidRPr="00683FBA">
              <w:t xml:space="preserve"> week of teaching in accordance with the University Academic Calendar.</w:t>
            </w:r>
          </w:p>
          <w:p w:rsidR="00B51E2A" w:rsidRPr="00683FBA" w:rsidRDefault="00B51E2A" w:rsidP="006D3292">
            <w:pPr>
              <w:pStyle w:val="BodyTextIndent"/>
              <w:spacing w:after="200"/>
              <w:ind w:left="0"/>
            </w:pPr>
          </w:p>
        </w:tc>
      </w:tr>
      <w:tr w:rsidR="00B51E2A" w:rsidRPr="00683FBA" w:rsidTr="006D3292">
        <w:tc>
          <w:tcPr>
            <w:tcW w:w="567" w:type="dxa"/>
          </w:tcPr>
          <w:p w:rsidR="00B51E2A" w:rsidRPr="00683FBA" w:rsidRDefault="00B51E2A" w:rsidP="006D3292">
            <w:pPr>
              <w:pStyle w:val="BodyTextIndent"/>
              <w:spacing w:after="200"/>
              <w:ind w:left="0"/>
            </w:pPr>
            <w:r w:rsidRPr="00683FBA">
              <w:t>(ii)</w:t>
            </w:r>
          </w:p>
        </w:tc>
        <w:tc>
          <w:tcPr>
            <w:tcW w:w="3260" w:type="dxa"/>
          </w:tcPr>
          <w:p w:rsidR="00B51E2A" w:rsidRPr="00683FBA" w:rsidRDefault="00B51E2A" w:rsidP="006D3292">
            <w:pPr>
              <w:pStyle w:val="BodyTextIndent"/>
              <w:spacing w:after="200"/>
              <w:ind w:left="0"/>
            </w:pPr>
            <w:r w:rsidRPr="00683FBA">
              <w:t xml:space="preserve">Practical / Laboratory Courses: The </w:t>
            </w:r>
            <w:proofErr w:type="gramStart"/>
            <w:r w:rsidRPr="00683FBA">
              <w:t>teachers</w:t>
            </w:r>
            <w:proofErr w:type="gramEnd"/>
            <w:r w:rsidRPr="00683FBA">
              <w:t xml:space="preserve"> continuous evaluation shall be based on performance in the laboratory, regularity, practical exercises / assignments, quizzes, etc. The assessment shall be given at three nearly </w:t>
            </w:r>
            <w:proofErr w:type="spellStart"/>
            <w:r w:rsidRPr="00683FBA">
              <w:t>equi</w:t>
            </w:r>
            <w:proofErr w:type="spellEnd"/>
            <w:r w:rsidRPr="00683FBA">
              <w:t>-spaced intervals.</w:t>
            </w:r>
          </w:p>
        </w:tc>
        <w:tc>
          <w:tcPr>
            <w:tcW w:w="2191" w:type="dxa"/>
          </w:tcPr>
          <w:p w:rsidR="00B51E2A" w:rsidRPr="00683FBA" w:rsidRDefault="00B51E2A" w:rsidP="006D3292">
            <w:pPr>
              <w:pStyle w:val="BodyTextIndent"/>
              <w:spacing w:after="200"/>
              <w:ind w:left="0"/>
            </w:pPr>
            <w:r w:rsidRPr="00683FBA">
              <w:t> 30 and 10 Marks</w:t>
            </w:r>
          </w:p>
        </w:tc>
        <w:tc>
          <w:tcPr>
            <w:tcW w:w="2191" w:type="dxa"/>
          </w:tcPr>
          <w:p w:rsidR="00B51E2A" w:rsidRPr="00683FBA" w:rsidRDefault="00B51E2A" w:rsidP="006D3292">
            <w:pPr>
              <w:pStyle w:val="BodyTextIndent"/>
              <w:spacing w:after="200"/>
              <w:ind w:left="0"/>
            </w:pPr>
            <w:r w:rsidRPr="00683FBA">
              <w:t> 30 and 10 Marks</w:t>
            </w:r>
          </w:p>
        </w:tc>
      </w:tr>
    </w:tbl>
    <w:p w:rsidR="00B51E2A" w:rsidRPr="00683FBA" w:rsidRDefault="00B51E2A" w:rsidP="00B51E2A">
      <w:pPr>
        <w:pStyle w:val="BodyTextIndent"/>
        <w:spacing w:after="200"/>
        <w:ind w:left="720"/>
      </w:pPr>
      <w:r w:rsidRPr="00683FBA">
        <w:t>The internal teacher shall set question paper and submit to the Controller of Examinations at least eight weeks before the commencement of End-Term Examinations. The external examiner shall be appointed by the Vice-Chancellor from the panel of examiners recommended by Board of Studies of the concerned programme. The paper shall be sent to external examiner for setting the final question paper.</w:t>
      </w:r>
    </w:p>
    <w:p w:rsidR="00B51E2A" w:rsidRPr="00683FBA" w:rsidRDefault="00B51E2A" w:rsidP="00B51E2A">
      <w:pPr>
        <w:pStyle w:val="BodyTextIndent"/>
        <w:spacing w:after="200"/>
        <w:ind w:left="426"/>
      </w:pPr>
      <w:r w:rsidRPr="00683FBA">
        <w:t>(f)   Dissertation / Thesis</w:t>
      </w:r>
    </w:p>
    <w:p w:rsidR="00B51E2A" w:rsidRPr="00683FBA" w:rsidRDefault="00B51E2A" w:rsidP="00B51E2A">
      <w:pPr>
        <w:pStyle w:val="BodyTextIndent"/>
        <w:spacing w:after="200"/>
        <w:ind w:left="840"/>
      </w:pPr>
      <w:r w:rsidRPr="00683FBA">
        <w:t>For dissertation / thesis for Master’s degree programmes, wherever specified in the syllabus, the evaluation shall be done and marks awarded by a Committee comprising of an internal examiner, who will ordinarily be the supervisor, and one or more external examiners. The internal examiner shall award marks out of 40%, and the external examiner(s) out of 60%. The examiners shall be appointed by the Vice-Chancellor out of a panel of three or more names suggested as specified in clause 10(d</w:t>
      </w:r>
      <w:proofErr w:type="gramStart"/>
      <w:r w:rsidRPr="00683FBA">
        <w:t>)(</w:t>
      </w:r>
      <w:proofErr w:type="gramEnd"/>
      <w:r w:rsidRPr="00683FBA">
        <w:t>iii) of this Ordinance.</w:t>
      </w:r>
    </w:p>
    <w:p w:rsidR="00B51E2A" w:rsidRPr="00683FBA" w:rsidRDefault="00B51E2A" w:rsidP="00B51E2A">
      <w:pPr>
        <w:pStyle w:val="BodyTextIndent"/>
        <w:spacing w:after="200"/>
        <w:ind w:left="840" w:hanging="480"/>
      </w:pPr>
      <w:r w:rsidRPr="00683FBA">
        <w:t xml:space="preserve"> (g)   The University shall have the right to call for all the records of teacher’s continuous evaluation </w:t>
      </w:r>
      <w:proofErr w:type="gramStart"/>
      <w:r w:rsidRPr="00683FBA">
        <w:t>an</w:t>
      </w:r>
      <w:proofErr w:type="gramEnd"/>
      <w:r w:rsidRPr="00683FBA">
        <w:t xml:space="preserve"> moderate the teacher’s evaluation, if it deems fit in any specific case(s).</w:t>
      </w:r>
    </w:p>
    <w:p w:rsidR="00B51E2A" w:rsidRPr="00683FBA" w:rsidRDefault="00B51E2A" w:rsidP="00B51E2A">
      <w:pPr>
        <w:pStyle w:val="BodyTextIndent"/>
        <w:spacing w:after="200"/>
        <w:ind w:left="837" w:hanging="477"/>
      </w:pPr>
      <w:r w:rsidRPr="00683FBA">
        <w:lastRenderedPageBreak/>
        <w:t>(h)    Semester-end practical examinations shall be conducted by a Board of Examiners for each course. The Board shall consist of one or more examiners.</w:t>
      </w:r>
    </w:p>
    <w:p w:rsidR="00B51E2A" w:rsidRPr="00683FBA" w:rsidRDefault="00B51E2A" w:rsidP="00B51E2A">
      <w:pPr>
        <w:pStyle w:val="BodyTextIndent"/>
        <w:tabs>
          <w:tab w:val="left" w:pos="840"/>
        </w:tabs>
        <w:spacing w:after="200"/>
        <w:ind w:left="960" w:hanging="600"/>
      </w:pPr>
      <w:r w:rsidRPr="00683FBA">
        <w:t> (</w:t>
      </w:r>
      <w:proofErr w:type="spellStart"/>
      <w:r w:rsidRPr="00683FBA">
        <w:t>i</w:t>
      </w:r>
      <w:proofErr w:type="spellEnd"/>
      <w:r w:rsidRPr="00683FBA">
        <w:t>)     For any other type of examination, not covered by sub-clause (e) and (f) above, the mode of conduct of examination shall be as specifically provided in the syllabus/scheme of examination and in the absence of such a provision shall be decided by the Controller of Examinations on the recommendation of the Board of Studies / Coordination Committee concerned, with the approval of the Vice-Chancellor.</w:t>
      </w:r>
    </w:p>
    <w:p w:rsidR="00B51E2A" w:rsidRPr="00683FBA" w:rsidRDefault="00B51E2A" w:rsidP="00B51E2A">
      <w:pPr>
        <w:pStyle w:val="BodyTextIndent"/>
        <w:spacing w:after="200"/>
        <w:ind w:left="960" w:hanging="537"/>
      </w:pPr>
      <w:r w:rsidRPr="00683FBA">
        <w:t> (j)    The results of a semester (including both the semester-end examinations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B51E2A" w:rsidRPr="00683FBA" w:rsidRDefault="00B51E2A" w:rsidP="00B51E2A">
      <w:pPr>
        <w:pStyle w:val="BodyTextIndent"/>
        <w:spacing w:after="200"/>
        <w:ind w:left="960" w:hanging="480"/>
      </w:pPr>
      <w:r w:rsidRPr="00683FBA">
        <w:t>(k)</w:t>
      </w:r>
      <w:r w:rsidRPr="00683FBA">
        <w:tab/>
        <w:t>The award list containing the marks obtained by a student in various courses shall be issued by the Controller of Examinations, at the end of each semester, after the declaration of the result.</w:t>
      </w:r>
    </w:p>
    <w:p w:rsidR="00B51E2A" w:rsidRPr="00683FBA" w:rsidRDefault="00B51E2A" w:rsidP="00B51E2A">
      <w:pPr>
        <w:pStyle w:val="BodyTextIndent"/>
        <w:spacing w:after="200"/>
        <w:ind w:left="0"/>
        <w:rPr>
          <w:b/>
          <w:bCs/>
        </w:rPr>
      </w:pPr>
      <w:r w:rsidRPr="00683FBA">
        <w:t> </w:t>
      </w:r>
      <w:r w:rsidRPr="00683FBA">
        <w:rPr>
          <w:b/>
          <w:bCs/>
        </w:rPr>
        <w:t>10.</w:t>
      </w:r>
      <w:r w:rsidRPr="00683FBA">
        <w:rPr>
          <w:b/>
          <w:bCs/>
        </w:rPr>
        <w:tab/>
        <w:t>CRITERIA FOR PASSING COURSES, MARKS AND DIVISONS</w:t>
      </w:r>
    </w:p>
    <w:p w:rsidR="00B51E2A" w:rsidRPr="00683FBA" w:rsidRDefault="00B51E2A" w:rsidP="00B51E2A">
      <w:pPr>
        <w:pStyle w:val="BodyTextIndent"/>
        <w:spacing w:after="200"/>
        <w:ind w:left="720" w:hanging="720"/>
      </w:pPr>
      <w:r w:rsidRPr="00683FBA">
        <w:t> (a) (</w:t>
      </w:r>
      <w:proofErr w:type="spellStart"/>
      <w:r w:rsidRPr="00683FBA">
        <w:t>i</w:t>
      </w:r>
      <w:proofErr w:type="spellEnd"/>
      <w:r w:rsidRPr="00683FBA">
        <w:t>)</w:t>
      </w:r>
      <w:r w:rsidRPr="00683FBA">
        <w:tab/>
        <w:t xml:space="preserve">Obtaining a minimum of 50% marks in aggregate in each course including the semester-end examination and the teacher’s continuous evaluation shall be essential for passing the course and earning its assigned credits. A </w:t>
      </w:r>
      <w:proofErr w:type="gramStart"/>
      <w:r w:rsidRPr="00683FBA">
        <w:t>candidate</w:t>
      </w:r>
      <w:proofErr w:type="gramEnd"/>
      <w:r w:rsidRPr="00683FBA">
        <w:t xml:space="preserve"> who secures less than 50% of marks in a course, shall be deemed to have failed in that course.</w:t>
      </w:r>
    </w:p>
    <w:p w:rsidR="00B51E2A" w:rsidRPr="00683FBA" w:rsidRDefault="00B51E2A" w:rsidP="00B51E2A">
      <w:pPr>
        <w:pStyle w:val="BodyTextIndent"/>
        <w:spacing w:after="200"/>
        <w:ind w:left="720" w:hanging="328"/>
      </w:pPr>
      <w:r w:rsidRPr="00683FBA">
        <w:t xml:space="preserve">(ii) 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w:t>
      </w:r>
      <w:proofErr w:type="spellStart"/>
      <w:r w:rsidRPr="00683FBA">
        <w:t>totalling</w:t>
      </w:r>
      <w:proofErr w:type="spellEnd"/>
      <w:r w:rsidRPr="00683FBA">
        <w:t xml:space="preserve"> of marks. In the event of a discrepancy being found, the same shall be rectified through appropriate changes in both the result as well as marks-sheet of the concerned semester-end examination.</w:t>
      </w:r>
    </w:p>
    <w:p w:rsidR="00B51E2A" w:rsidRPr="00683FBA" w:rsidRDefault="00B51E2A" w:rsidP="00B51E2A">
      <w:pPr>
        <w:pStyle w:val="BodyTextIndent"/>
        <w:spacing w:after="200"/>
        <w:ind w:left="720" w:hanging="657"/>
        <w:rPr>
          <w:b/>
        </w:rPr>
      </w:pPr>
      <w:r w:rsidRPr="00683FBA">
        <w:rPr>
          <w:b/>
        </w:rPr>
        <w:t xml:space="preserve"> (b)(</w:t>
      </w:r>
      <w:proofErr w:type="spellStart"/>
      <w:r w:rsidRPr="00683FBA">
        <w:rPr>
          <w:b/>
        </w:rPr>
        <w:t>i</w:t>
      </w:r>
      <w:proofErr w:type="spellEnd"/>
      <w:r w:rsidRPr="00683FBA">
        <w:rPr>
          <w:b/>
        </w:rPr>
        <w:t>)</w:t>
      </w:r>
      <w:r w:rsidRPr="00683FBA">
        <w:rPr>
          <w:b/>
        </w:rPr>
        <w:tab/>
        <w:t xml:space="preserve">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 / Director of the School / 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w:t>
      </w:r>
      <w:r w:rsidRPr="00683FBA">
        <w:rPr>
          <w:b/>
        </w:rPr>
        <w:lastRenderedPageBreak/>
        <w:t xml:space="preserve">students opt to improve the two class tests performance with the next batch of students, the marks obtained in two class tests will be proportionately increased to include the component of assignment / group discussion / viva voce/additional test/quizzes etc.  </w:t>
      </w:r>
    </w:p>
    <w:p w:rsidR="00B51E2A" w:rsidRPr="00683FBA" w:rsidRDefault="00B51E2A" w:rsidP="00B51E2A">
      <w:pPr>
        <w:pStyle w:val="BodyTextIndent"/>
        <w:spacing w:after="200"/>
        <w:ind w:left="0" w:firstLine="720"/>
      </w:pPr>
      <w:r w:rsidRPr="00683FBA">
        <w:t>No extra fee shall be charged from the students in this regard.</w:t>
      </w:r>
    </w:p>
    <w:p w:rsidR="00B51E2A" w:rsidRPr="00683FBA" w:rsidRDefault="00B51E2A" w:rsidP="00B51E2A">
      <w:pPr>
        <w:pStyle w:val="BodyTextIndent"/>
        <w:spacing w:after="200"/>
        <w:ind w:left="720" w:hanging="657"/>
      </w:pPr>
      <w:r w:rsidRPr="00683FBA">
        <w:rPr>
          <w:b/>
          <w:bCs/>
        </w:rPr>
        <w:t> </w:t>
      </w:r>
      <w:r w:rsidRPr="00683FBA">
        <w:t>(ii)</w:t>
      </w:r>
      <w:r w:rsidRPr="00683FBA">
        <w:tab/>
        <w:t>A student who has to reappear in a semester end-term examination in terms of clause 11(b) (</w:t>
      </w:r>
      <w:proofErr w:type="spellStart"/>
      <w:r w:rsidRPr="00683FBA">
        <w:t>i</w:t>
      </w:r>
      <w:proofErr w:type="spellEnd"/>
      <w:r w:rsidRPr="00683FBA">
        <w:t>) above shall be examined as per the syllabus which will be in operation during the subsequent semester(s). However, in case the student(s) claimed that there are major modifications in the syllabus which is in operation as compared to the syllabus which was applicable at the time of his/her joining the concerned programme and the Dean of the School / Chairman / Coordinator of the Programme Committee so certifies, the examination may be held in accordance with the old syllabus, provided such request shall be received to Controller of Examination at least 3 weeks prior to commencement of semester end-term examination.</w:t>
      </w:r>
    </w:p>
    <w:p w:rsidR="00B51E2A" w:rsidRPr="00683FBA" w:rsidRDefault="00B51E2A" w:rsidP="00B51E2A">
      <w:pPr>
        <w:pStyle w:val="BodyTextIndent"/>
        <w:spacing w:after="200"/>
        <w:ind w:left="720"/>
      </w:pPr>
      <w:r w:rsidRPr="00683FBA">
        <w:t>Students who are eligible to reappear in an examination shall have to apply to the Controller of Examinations through the School / Institution concerned to be allowed to reappear in an examination and pay the fees prescribed by the University.</w:t>
      </w:r>
    </w:p>
    <w:p w:rsidR="00B51E2A" w:rsidRPr="00683FBA" w:rsidRDefault="00B51E2A" w:rsidP="00B51E2A">
      <w:pPr>
        <w:spacing w:line="240" w:lineRule="auto"/>
        <w:ind w:left="709" w:hanging="567"/>
        <w:jc w:val="both"/>
        <w:rPr>
          <w:rFonts w:ascii="Times New Roman" w:hAnsi="Times New Roman" w:cs="Times New Roman"/>
          <w:b/>
          <w:sz w:val="24"/>
          <w:szCs w:val="24"/>
        </w:rPr>
      </w:pPr>
      <w:r w:rsidRPr="00683FBA">
        <w:rPr>
          <w:rFonts w:ascii="Times New Roman" w:hAnsi="Times New Roman" w:cs="Times New Roman"/>
          <w:b/>
          <w:sz w:val="24"/>
          <w:szCs w:val="24"/>
        </w:rPr>
        <w:t xml:space="preserve">(iii)  A student will be promoted to the next academic year only if such student has obtained at least, </w:t>
      </w:r>
    </w:p>
    <w:p w:rsidR="00B51E2A" w:rsidRPr="00683FBA" w:rsidRDefault="00B51E2A" w:rsidP="003A7ED2">
      <w:pPr>
        <w:pStyle w:val="ListParagraph"/>
        <w:numPr>
          <w:ilvl w:val="0"/>
          <w:numId w:val="5"/>
        </w:numPr>
        <w:spacing w:line="240" w:lineRule="auto"/>
        <w:jc w:val="both"/>
        <w:rPr>
          <w:rFonts w:ascii="Times New Roman" w:hAnsi="Times New Roman"/>
          <w:b/>
          <w:sz w:val="24"/>
          <w:szCs w:val="24"/>
        </w:rPr>
      </w:pPr>
      <w:r w:rsidRPr="00683FBA">
        <w:rPr>
          <w:rFonts w:ascii="Times New Roman" w:hAnsi="Times New Roman"/>
          <w:b/>
          <w:sz w:val="24"/>
          <w:szCs w:val="24"/>
        </w:rPr>
        <w:t xml:space="preserve">50%,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of the total credits of the ensuing academic year from which the promotion to next academic year is being sought, and</w:t>
      </w:r>
    </w:p>
    <w:p w:rsidR="00B51E2A" w:rsidRPr="00683FBA" w:rsidRDefault="00B51E2A" w:rsidP="00B51E2A">
      <w:pPr>
        <w:pStyle w:val="ListParagraph"/>
        <w:tabs>
          <w:tab w:val="left" w:pos="960"/>
        </w:tabs>
        <w:spacing w:line="240" w:lineRule="auto"/>
        <w:ind w:left="1036" w:hanging="336"/>
        <w:jc w:val="both"/>
        <w:rPr>
          <w:rFonts w:ascii="Times New Roman" w:hAnsi="Times New Roman"/>
          <w:b/>
          <w:sz w:val="24"/>
          <w:szCs w:val="24"/>
        </w:rPr>
      </w:pPr>
    </w:p>
    <w:p w:rsidR="00B51E2A" w:rsidRPr="00683FBA" w:rsidRDefault="00B51E2A" w:rsidP="003A7ED2">
      <w:pPr>
        <w:pStyle w:val="ListParagraph"/>
        <w:numPr>
          <w:ilvl w:val="0"/>
          <w:numId w:val="5"/>
        </w:numPr>
        <w:spacing w:line="240" w:lineRule="auto"/>
        <w:jc w:val="both"/>
        <w:rPr>
          <w:rFonts w:ascii="Times New Roman" w:hAnsi="Times New Roman"/>
          <w:b/>
          <w:sz w:val="24"/>
          <w:szCs w:val="24"/>
        </w:rPr>
      </w:pPr>
      <w:r w:rsidRPr="00683FBA">
        <w:rPr>
          <w:rFonts w:ascii="Times New Roman" w:hAnsi="Times New Roman"/>
          <w:b/>
          <w:sz w:val="24"/>
          <w:szCs w:val="24"/>
        </w:rPr>
        <w:t xml:space="preserve">90%, (accurate </w:t>
      </w:r>
      <w:proofErr w:type="spellStart"/>
      <w:r w:rsidRPr="00683FBA">
        <w:rPr>
          <w:rFonts w:ascii="Times New Roman" w:hAnsi="Times New Roman"/>
          <w:b/>
          <w:sz w:val="24"/>
          <w:szCs w:val="24"/>
        </w:rPr>
        <w:t>upto</w:t>
      </w:r>
      <w:proofErr w:type="spellEnd"/>
      <w:r w:rsidRPr="00683FBA">
        <w:rPr>
          <w:rFonts w:ascii="Times New Roman" w:hAnsi="Times New Roman"/>
          <w:b/>
          <w:sz w:val="24"/>
          <w:szCs w:val="24"/>
        </w:rPr>
        <w:t xml:space="preserve"> two decimal digits &amp; rounding of thereafter to full digits) of the total credits of all previous years excluding the credits of the ensuing academic year from which the promotion to next academic year is being sought.</w:t>
      </w:r>
    </w:p>
    <w:p w:rsidR="00B51E2A" w:rsidRPr="00683FBA" w:rsidRDefault="00B51E2A" w:rsidP="00B51E2A">
      <w:pPr>
        <w:tabs>
          <w:tab w:val="left" w:pos="960"/>
        </w:tabs>
        <w:spacing w:line="240" w:lineRule="auto"/>
        <w:ind w:left="540"/>
        <w:jc w:val="both"/>
        <w:rPr>
          <w:rFonts w:ascii="Times New Roman" w:hAnsi="Times New Roman" w:cs="Times New Roman"/>
          <w:b/>
          <w:sz w:val="24"/>
          <w:szCs w:val="24"/>
        </w:rPr>
      </w:pPr>
      <w:r w:rsidRPr="00683FBA">
        <w:rPr>
          <w:rFonts w:ascii="Times New Roman" w:hAnsi="Times New Roman" w:cs="Times New Roman"/>
          <w:b/>
          <w:sz w:val="24"/>
          <w:szCs w:val="24"/>
        </w:rPr>
        <w:t xml:space="preserve">All such students who fail to get promoted to next academic year for the reason of deficiency in required credits as stated here in above will automatically be declared to have taken academic break to reappear in such examinations of previous semesters in which the student has failed, so as to obtain sufficient credits to be promoted to the next academic year. </w:t>
      </w:r>
    </w:p>
    <w:p w:rsidR="00B51E2A" w:rsidRDefault="00B51E2A" w:rsidP="00B51E2A">
      <w:pPr>
        <w:pStyle w:val="BodyTextIndent"/>
        <w:spacing w:after="200"/>
        <w:ind w:left="567"/>
      </w:pPr>
      <w:r w:rsidRPr="00683FBA">
        <w:rPr>
          <w:b/>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 promotion or detention, in such cases the admission of such student would automatically stand cancelled right at the time such an occasion of more than two academic breaks arise</w:t>
      </w:r>
      <w:r w:rsidRPr="00683FBA">
        <w:t>.</w:t>
      </w:r>
    </w:p>
    <w:p w:rsidR="00B51E2A" w:rsidRPr="00D82352" w:rsidRDefault="00B51E2A" w:rsidP="00B51E2A">
      <w:pPr>
        <w:pStyle w:val="BodyTextIndent"/>
        <w:spacing w:after="200"/>
        <w:ind w:left="567" w:hanging="567"/>
      </w:pPr>
      <w:r>
        <w:rPr>
          <w:b/>
        </w:rPr>
        <w:lastRenderedPageBreak/>
        <w:t>(c)</w:t>
      </w:r>
      <w:r>
        <w:rPr>
          <w:b/>
        </w:rPr>
        <w:tab/>
      </w:r>
      <w:r w:rsidRPr="00683FBA">
        <w:rPr>
          <w:b/>
        </w:rPr>
        <w:t xml:space="preserve">A candidate who has earned the minimum number of credits prescribed in the </w:t>
      </w:r>
      <w:r>
        <w:rPr>
          <w:b/>
        </w:rPr>
        <w:t xml:space="preserve"> </w:t>
      </w:r>
      <w:r w:rsidRPr="00683FBA">
        <w:rPr>
          <w:b/>
        </w:rPr>
        <w:t xml:space="preserve">concerned Scheme of Teaching &amp; Examination and Syllabi, </w:t>
      </w:r>
      <w:r w:rsidRPr="00683FBA">
        <w:rPr>
          <w:b/>
          <w:bCs/>
        </w:rPr>
        <w:t xml:space="preserve">either entirely from the concerned University School of Studies/ Affiliated Institute/ Centre for Learning &amp; Education or including those credits which have been transferred after earning them for one semester/ semesters from any other University operating in and outside India and with which </w:t>
      </w:r>
      <w:proofErr w:type="spellStart"/>
      <w:r w:rsidRPr="00683FBA">
        <w:rPr>
          <w:b/>
          <w:bCs/>
        </w:rPr>
        <w:t>MoU</w:t>
      </w:r>
      <w:proofErr w:type="spellEnd"/>
      <w:r w:rsidRPr="00683FBA">
        <w:rPr>
          <w:b/>
          <w:bCs/>
        </w:rPr>
        <w:t xml:space="preserve"> has been done by the GGS Indraprastha University</w:t>
      </w:r>
      <w:r w:rsidRPr="00683FBA">
        <w:rPr>
          <w:b/>
        </w:rPr>
        <w:t>, shall be declared to have passed the programme, and shall be eligible for the award of the relevant degree or diploma.  The Scheme of Teaching &amp; Examination and Syllabi shall clearly specify the minimum credits to be earned to qualify for a degree or diploma.  The credits included in the Scheme of Teaching &amp; Examination and Syllabi of a programme shall generally be 5-10% more than such minimum specified credits subject to prescribed guidelines of the concerned statutory or regulatory authority, if any.</w:t>
      </w:r>
    </w:p>
    <w:p w:rsidR="00B51E2A" w:rsidRPr="00683FBA" w:rsidRDefault="00B51E2A" w:rsidP="00B51E2A">
      <w:pPr>
        <w:pStyle w:val="BodyTextIndent"/>
        <w:spacing w:after="200"/>
        <w:ind w:left="0"/>
      </w:pPr>
      <w:r w:rsidRPr="00683FBA">
        <w:t>11.</w:t>
      </w:r>
      <w:r w:rsidRPr="00683FBA">
        <w:tab/>
        <w:t>Further, the successful candidates will be placed in Divisions as below:</w:t>
      </w:r>
    </w:p>
    <w:p w:rsidR="00B51E2A" w:rsidRPr="00683FBA" w:rsidRDefault="00B51E2A" w:rsidP="00B51E2A">
      <w:pPr>
        <w:pStyle w:val="BodyTextIndent"/>
        <w:spacing w:after="200"/>
        <w:ind w:left="1440" w:hanging="731"/>
      </w:pPr>
      <w:r w:rsidRPr="00683FBA">
        <w:t> (</w:t>
      </w:r>
      <w:proofErr w:type="spellStart"/>
      <w:r w:rsidRPr="00683FBA">
        <w:t>i</w:t>
      </w:r>
      <w:proofErr w:type="spellEnd"/>
      <w:r w:rsidRPr="00683FBA">
        <w:t>)        Second Division</w:t>
      </w:r>
      <w:r w:rsidRPr="00683FBA">
        <w:rPr>
          <w:b/>
          <w:bCs/>
        </w:rPr>
        <w:t xml:space="preserve">: </w:t>
      </w:r>
      <w:r w:rsidRPr="00683FBA">
        <w:t xml:space="preserve">A candidate obtaining a Cumulative Performance Index (CPI) at the end of the programme of 50 and above but below </w:t>
      </w:r>
      <w:proofErr w:type="gramStart"/>
      <w:r w:rsidRPr="00683FBA">
        <w:t>60,</w:t>
      </w:r>
      <w:proofErr w:type="gramEnd"/>
      <w:r w:rsidRPr="00683FBA">
        <w:t xml:space="preserve"> shall be placed in Second Division.</w:t>
      </w:r>
    </w:p>
    <w:p w:rsidR="00B51E2A" w:rsidRPr="00683FBA" w:rsidRDefault="00B51E2A" w:rsidP="00B51E2A">
      <w:pPr>
        <w:pStyle w:val="BodyTextIndent"/>
        <w:spacing w:after="200"/>
        <w:ind w:left="1440" w:hanging="720"/>
      </w:pPr>
      <w:r w:rsidRPr="00683FBA">
        <w:t>(ii)</w:t>
      </w:r>
      <w:r w:rsidRPr="00683FBA">
        <w:tab/>
        <w:t>First Division: A candidate obtaining a CPI at the end of the programme of 60 and above but below 75 shall be placed in the First Division.</w:t>
      </w:r>
    </w:p>
    <w:p w:rsidR="00B51E2A" w:rsidRPr="00683FBA" w:rsidRDefault="00B51E2A" w:rsidP="00B51E2A">
      <w:pPr>
        <w:pStyle w:val="BodyTextIndent"/>
        <w:spacing w:after="200"/>
        <w:ind w:left="1404" w:hanging="684"/>
      </w:pPr>
      <w:r w:rsidRPr="00683FBA">
        <w:t>(iii)     First Division with Distinction: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B51E2A" w:rsidRPr="00683FBA" w:rsidRDefault="00B51E2A" w:rsidP="00B51E2A">
      <w:pPr>
        <w:pStyle w:val="BodyTextIndent"/>
        <w:spacing w:after="200"/>
        <w:ind w:left="1418" w:hanging="709"/>
        <w:rPr>
          <w:b/>
          <w:bCs/>
        </w:rPr>
      </w:pPr>
      <w:r w:rsidRPr="00683FBA">
        <w:t>(iv)      For the above, Cumulative Performance  Index (CPI) shall be calculated as in Clause 14 and shall be based only on marks obtained in courses for which credits have been earned.</w:t>
      </w:r>
    </w:p>
    <w:p w:rsidR="00B51E2A" w:rsidRPr="00683FBA" w:rsidRDefault="00B51E2A" w:rsidP="00B51E2A">
      <w:pPr>
        <w:pStyle w:val="BodyTextIndent"/>
        <w:spacing w:after="200"/>
        <w:ind w:left="0"/>
      </w:pPr>
      <w:r w:rsidRPr="00683FBA">
        <w:rPr>
          <w:b/>
          <w:bCs/>
        </w:rPr>
        <w:t>12(a)</w:t>
      </w:r>
      <w:r w:rsidRPr="00683FBA">
        <w:rPr>
          <w:b/>
          <w:bCs/>
        </w:rPr>
        <w:tab/>
        <w:t>USE OF UNFAIR MEANS</w:t>
      </w:r>
    </w:p>
    <w:p w:rsidR="00B51E2A" w:rsidRPr="00683FBA" w:rsidRDefault="00B51E2A" w:rsidP="00B51E2A">
      <w:pPr>
        <w:pStyle w:val="BodyTextIndent"/>
        <w:spacing w:after="200"/>
        <w:ind w:left="720"/>
      </w:pPr>
      <w:r w:rsidRPr="00683FBA">
        <w:t>All cases regarding reported use of Unfair Means in the examination shall be placed before a Standing Unfair Means Committee/s for decision in individual cases, the recommending penalties, if any. The actions deemed as “Use of Unfair Means” shall be specified by the Academic Council and procedure for dealing with cases of suspected/alleged/reported use of unfair means shall also be approved by the Academic Council.</w:t>
      </w:r>
    </w:p>
    <w:p w:rsidR="00B51E2A" w:rsidRPr="00683FBA" w:rsidRDefault="00B51E2A" w:rsidP="00B51E2A">
      <w:pPr>
        <w:pStyle w:val="BodyTextIndent"/>
        <w:spacing w:after="200"/>
        <w:ind w:left="0"/>
      </w:pPr>
      <w:r w:rsidRPr="00683FBA">
        <w:t> </w:t>
      </w:r>
      <w:r w:rsidRPr="00683FBA">
        <w:rPr>
          <w:b/>
          <w:bCs/>
        </w:rPr>
        <w:t>(b)</w:t>
      </w:r>
      <w:r w:rsidRPr="00683FBA">
        <w:rPr>
          <w:b/>
          <w:bCs/>
        </w:rPr>
        <w:tab/>
        <w:t>STUDENTS GRIEVANCE COMMITTEE</w:t>
      </w:r>
    </w:p>
    <w:p w:rsidR="00B51E2A" w:rsidRPr="00683FBA" w:rsidRDefault="00B51E2A" w:rsidP="00B51E2A">
      <w:pPr>
        <w:pStyle w:val="BodyTextIndent"/>
        <w:spacing w:after="200"/>
        <w:ind w:left="720"/>
      </w:pPr>
      <w:r w:rsidRPr="00683FBA">
        <w:t xml:space="preserve"> In case of any written representation / complaints received from the students within seven days after complexion of the examination regarding setting up of question paper </w:t>
      </w:r>
      <w:r w:rsidRPr="00683FBA">
        <w:lastRenderedPageBreak/>
        <w:t>etc. along with specific recommendations of the Dean of the school / Director of the institution,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B51E2A" w:rsidRPr="00683FBA" w:rsidRDefault="00B51E2A" w:rsidP="00B51E2A">
      <w:pPr>
        <w:pStyle w:val="BodyTextIndent"/>
        <w:spacing w:after="200"/>
        <w:ind w:left="0"/>
      </w:pPr>
      <w:r w:rsidRPr="00683FBA">
        <w:rPr>
          <w:b/>
          <w:bCs/>
        </w:rPr>
        <w:t>13.</w:t>
      </w:r>
      <w:r w:rsidRPr="00683FBA">
        <w:rPr>
          <w:b/>
          <w:bCs/>
        </w:rPr>
        <w:tab/>
        <w:t>AWARD OF DEGREE/DIPLOMA</w:t>
      </w:r>
    </w:p>
    <w:p w:rsidR="00B51E2A" w:rsidRPr="00683FBA" w:rsidRDefault="00B51E2A" w:rsidP="00B51E2A">
      <w:pPr>
        <w:pStyle w:val="BodyTextIndent"/>
        <w:spacing w:after="200"/>
        <w:ind w:left="0" w:firstLine="720"/>
      </w:pPr>
      <w:r w:rsidRPr="00683FBA">
        <w:t>A student shall be awarded a degree/diploma if:</w:t>
      </w:r>
    </w:p>
    <w:p w:rsidR="00B51E2A" w:rsidRPr="00683FBA" w:rsidRDefault="00B51E2A" w:rsidP="00B51E2A">
      <w:pPr>
        <w:pStyle w:val="BodyTextIndent"/>
        <w:spacing w:after="200"/>
        <w:ind w:left="1200" w:hanging="480"/>
      </w:pPr>
      <w:proofErr w:type="spellStart"/>
      <w:r w:rsidRPr="00683FBA">
        <w:t>i</w:t>
      </w:r>
      <w:proofErr w:type="spellEnd"/>
      <w:r w:rsidRPr="00683FBA">
        <w:t>)      He/she has registered himself/herself, undergone the course of studies, completed the project report/dissertation specified in the curriculum of his/her programme within the stipulated time, and secured the minimum credits prescribed for award of the concerned degree/diploma.</w:t>
      </w:r>
    </w:p>
    <w:p w:rsidR="00B51E2A" w:rsidRPr="00683FBA" w:rsidRDefault="00B51E2A" w:rsidP="00B51E2A">
      <w:pPr>
        <w:pStyle w:val="BodyTextIndent"/>
        <w:spacing w:after="200"/>
        <w:ind w:left="1200" w:hanging="480"/>
      </w:pPr>
      <w:r w:rsidRPr="00683FBA">
        <w:t>ii)     There are no dues outstanding in his/her name to a School of the University / Affiliated Institution; and</w:t>
      </w:r>
    </w:p>
    <w:p w:rsidR="00B51E2A" w:rsidRPr="00683FBA" w:rsidRDefault="00B51E2A" w:rsidP="00B51E2A">
      <w:pPr>
        <w:pStyle w:val="BodyTextIndent"/>
        <w:spacing w:after="200"/>
        <w:ind w:left="1200" w:hanging="480"/>
      </w:pPr>
      <w:r w:rsidRPr="00683FBA">
        <w:t>iii)    No disciplinary action is pending against him/her</w:t>
      </w:r>
    </w:p>
    <w:p w:rsidR="00B51E2A" w:rsidRPr="00683FBA" w:rsidRDefault="00B51E2A" w:rsidP="00B51E2A">
      <w:pPr>
        <w:pStyle w:val="BodyTextIndent"/>
        <w:spacing w:before="240"/>
        <w:ind w:left="0"/>
        <w:rPr>
          <w:b/>
          <w:bCs/>
        </w:rPr>
      </w:pPr>
      <w:r w:rsidRPr="00683FBA">
        <w:t> </w:t>
      </w:r>
      <w:r w:rsidRPr="00683FBA">
        <w:rPr>
          <w:b/>
          <w:bCs/>
        </w:rPr>
        <w:t>14.</w:t>
      </w:r>
      <w:r w:rsidRPr="00683FBA">
        <w:rPr>
          <w:b/>
          <w:bCs/>
        </w:rPr>
        <w:tab/>
        <w:t>PERFORMANCE INDEX</w:t>
      </w:r>
    </w:p>
    <w:p w:rsidR="00B51E2A" w:rsidRPr="00683FBA" w:rsidRDefault="00B51E2A" w:rsidP="00B51E2A">
      <w:pPr>
        <w:pStyle w:val="BodyTextIndent"/>
        <w:spacing w:before="240"/>
        <w:ind w:left="0" w:firstLine="720"/>
      </w:pPr>
      <w:r w:rsidRPr="00683FBA">
        <w:t>The overall performance of a candidate will be determined at any stage as follows: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0"/>
        <w:gridCol w:w="4172"/>
      </w:tblGrid>
      <w:tr w:rsidR="00B51E2A" w:rsidRPr="00683FBA" w:rsidTr="006D3292">
        <w:trPr>
          <w:trHeight w:val="277"/>
        </w:trPr>
        <w:tc>
          <w:tcPr>
            <w:tcW w:w="4710" w:type="dxa"/>
            <w:vMerge w:val="restart"/>
          </w:tcPr>
          <w:p w:rsidR="00B51E2A" w:rsidRPr="00683FBA" w:rsidRDefault="00B51E2A" w:rsidP="006D3292">
            <w:pPr>
              <w:pStyle w:val="Heading1"/>
              <w:ind w:firstLine="360"/>
              <w:outlineLvl w:val="0"/>
              <w:rPr>
                <w:rFonts w:ascii="Times New Roman" w:hAnsi="Times New Roman" w:cs="Times New Roman"/>
                <w:b w:val="0"/>
                <w:color w:val="000000" w:themeColor="text1"/>
                <w:sz w:val="24"/>
                <w:szCs w:val="24"/>
              </w:rPr>
            </w:pPr>
            <w:r w:rsidRPr="00683FBA">
              <w:rPr>
                <w:rFonts w:ascii="Times New Roman" w:hAnsi="Times New Roman" w:cs="Times New Roman"/>
                <w:b w:val="0"/>
                <w:color w:val="000000" w:themeColor="text1"/>
                <w:sz w:val="24"/>
                <w:szCs w:val="24"/>
              </w:rPr>
              <w:t xml:space="preserve">Cumulative Performance Index (CPI)   = </w:t>
            </w:r>
          </w:p>
          <w:p w:rsidR="00B51E2A" w:rsidRPr="00683FBA" w:rsidRDefault="00B51E2A" w:rsidP="006D3292">
            <w:pPr>
              <w:pStyle w:val="BodyText3"/>
              <w:rPr>
                <w:rFonts w:ascii="Times New Roman" w:hAnsi="Times New Roman" w:cs="Times New Roman"/>
                <w:sz w:val="24"/>
                <w:szCs w:val="24"/>
              </w:rPr>
            </w:pPr>
          </w:p>
        </w:tc>
        <w:tc>
          <w:tcPr>
            <w:tcW w:w="4172" w:type="dxa"/>
          </w:tcPr>
          <w:p w:rsidR="00B51E2A" w:rsidRPr="00683FBA" w:rsidRDefault="00B51E2A" w:rsidP="006D3292">
            <w:pPr>
              <w:rPr>
                <w:rFonts w:ascii="Times New Roman" w:hAnsi="Times New Roman" w:cs="Times New Roman"/>
                <w:sz w:val="24"/>
                <w:szCs w:val="24"/>
              </w:rPr>
            </w:pPr>
            <w:r w:rsidRPr="004830F8">
              <w:rPr>
                <w:rFonts w:ascii="Times New Roman" w:hAnsi="Times New Roman" w:cs="Times New Roman"/>
                <w:sz w:val="24"/>
                <w:szCs w:val="24"/>
              </w:rPr>
              <w:t xml:space="preserve">         N</w:t>
            </w:r>
          </w:p>
        </w:tc>
      </w:tr>
      <w:tr w:rsidR="00B51E2A" w:rsidRPr="00683FBA" w:rsidTr="006D3292">
        <w:trPr>
          <w:trHeight w:val="346"/>
        </w:trPr>
        <w:tc>
          <w:tcPr>
            <w:tcW w:w="4710" w:type="dxa"/>
            <w:vMerge/>
          </w:tcPr>
          <w:p w:rsidR="00B51E2A" w:rsidRPr="00683FBA" w:rsidRDefault="00B51E2A" w:rsidP="006D3292">
            <w:pPr>
              <w:pStyle w:val="Heading1"/>
              <w:ind w:firstLine="360"/>
              <w:outlineLvl w:val="0"/>
              <w:rPr>
                <w:rFonts w:ascii="Times New Roman" w:hAnsi="Times New Roman" w:cs="Times New Roman"/>
                <w:b w:val="0"/>
                <w:color w:val="000000" w:themeColor="text1"/>
                <w:sz w:val="24"/>
                <w:szCs w:val="24"/>
              </w:rPr>
            </w:pPr>
          </w:p>
        </w:tc>
        <w:tc>
          <w:tcPr>
            <w:tcW w:w="4172" w:type="dxa"/>
          </w:tcPr>
          <w:p w:rsidR="00B51E2A" w:rsidRPr="004830F8" w:rsidRDefault="00B51E2A" w:rsidP="006D3292">
            <w:pPr>
              <w:rPr>
                <w:rFonts w:ascii="Times New Roman" w:hAnsi="Times New Roman" w:cs="Times New Roman"/>
                <w:sz w:val="24"/>
                <w:szCs w:val="24"/>
              </w:rPr>
            </w:pPr>
            <w:r w:rsidRPr="004830F8">
              <w:rPr>
                <w:rFonts w:ascii="Times New Roman" w:hAnsi="Times New Roman" w:cs="Times New Roman"/>
                <w:sz w:val="24"/>
                <w:szCs w:val="24"/>
              </w:rPr>
              <w:t xml:space="preserve">        </w:t>
            </w:r>
            <w:r w:rsidRPr="004830F8">
              <w:rPr>
                <w:rFonts w:ascii="Times New Roman" w:hAnsi="Times New Roman" w:cs="Times New Roman"/>
                <w:sz w:val="24"/>
                <w:szCs w:val="24"/>
              </w:rPr>
              <w:sym w:font="Symbol" w:char="F0E5"/>
            </w:r>
            <w:r w:rsidRPr="004830F8">
              <w:rPr>
                <w:rFonts w:ascii="Times New Roman" w:hAnsi="Times New Roman" w:cs="Times New Roman"/>
                <w:sz w:val="24"/>
                <w:szCs w:val="24"/>
              </w:rPr>
              <w:t xml:space="preserve"> </w:t>
            </w:r>
            <w:proofErr w:type="spellStart"/>
            <w:r w:rsidRPr="004830F8">
              <w:rPr>
                <w:rFonts w:ascii="Times New Roman" w:hAnsi="Times New Roman" w:cs="Times New Roman"/>
                <w:sz w:val="24"/>
                <w:szCs w:val="24"/>
              </w:rPr>
              <w:t>C</w:t>
            </w:r>
            <w:r w:rsidRPr="004830F8">
              <w:rPr>
                <w:rFonts w:ascii="Times New Roman" w:hAnsi="Times New Roman" w:cs="Times New Roman"/>
                <w:sz w:val="24"/>
                <w:szCs w:val="24"/>
                <w:vertAlign w:val="subscript"/>
              </w:rPr>
              <w:t>n</w:t>
            </w:r>
            <w:proofErr w:type="spellEnd"/>
            <w:r w:rsidRPr="004830F8">
              <w:rPr>
                <w:rFonts w:ascii="Times New Roman" w:hAnsi="Times New Roman" w:cs="Times New Roman"/>
                <w:sz w:val="24"/>
                <w:szCs w:val="24"/>
                <w:vertAlign w:val="subscript"/>
              </w:rPr>
              <w:t xml:space="preserve"> </w:t>
            </w:r>
            <w:proofErr w:type="spellStart"/>
            <w:r w:rsidRPr="004830F8">
              <w:rPr>
                <w:rFonts w:ascii="Times New Roman" w:hAnsi="Times New Roman" w:cs="Times New Roman"/>
                <w:sz w:val="24"/>
                <w:szCs w:val="24"/>
              </w:rPr>
              <w:t>M</w:t>
            </w:r>
            <w:r w:rsidRPr="004830F8">
              <w:rPr>
                <w:rFonts w:ascii="Times New Roman" w:hAnsi="Times New Roman" w:cs="Times New Roman"/>
                <w:sz w:val="24"/>
                <w:szCs w:val="24"/>
                <w:vertAlign w:val="subscript"/>
              </w:rPr>
              <w:t>n</w:t>
            </w:r>
            <w:proofErr w:type="spellEnd"/>
          </w:p>
        </w:tc>
      </w:tr>
      <w:tr w:rsidR="00B51E2A" w:rsidRPr="00683FBA" w:rsidTr="006D3292">
        <w:trPr>
          <w:trHeight w:val="332"/>
        </w:trPr>
        <w:tc>
          <w:tcPr>
            <w:tcW w:w="4710" w:type="dxa"/>
            <w:vMerge/>
          </w:tcPr>
          <w:p w:rsidR="00B51E2A" w:rsidRPr="00683FBA" w:rsidRDefault="00B51E2A" w:rsidP="006D3292">
            <w:pPr>
              <w:pStyle w:val="Heading1"/>
              <w:ind w:firstLine="360"/>
              <w:outlineLvl w:val="0"/>
              <w:rPr>
                <w:rFonts w:ascii="Times New Roman" w:hAnsi="Times New Roman" w:cs="Times New Roman"/>
                <w:b w:val="0"/>
                <w:color w:val="000000" w:themeColor="text1"/>
                <w:sz w:val="24"/>
                <w:szCs w:val="24"/>
              </w:rPr>
            </w:pPr>
          </w:p>
        </w:tc>
        <w:tc>
          <w:tcPr>
            <w:tcW w:w="4172" w:type="dxa"/>
          </w:tcPr>
          <w:p w:rsidR="00B51E2A" w:rsidRPr="004830F8" w:rsidRDefault="00B51E2A" w:rsidP="006D3292">
            <w:pPr>
              <w:rPr>
                <w:rFonts w:ascii="Times New Roman" w:hAnsi="Times New Roman" w:cs="Times New Roman"/>
                <w:sz w:val="24"/>
                <w:szCs w:val="24"/>
              </w:rPr>
            </w:pPr>
            <w:r>
              <w:rPr>
                <w:rFonts w:ascii="Times New Roman" w:hAnsi="Times New Roman" w:cs="Times New Roman"/>
                <w:noProof/>
                <w:sz w:val="24"/>
                <w:szCs w:val="24"/>
                <w:lang w:val="en-US"/>
              </w:rPr>
              <w:pict>
                <v:line id="_x0000_s1037" style="position:absolute;z-index:251660288;mso-position-horizontal-relative:text;mso-position-vertical-relative:text" from="16.45pt,0" to="66.85pt,0">
                  <w10:wrap type="topAndBottom"/>
                </v:line>
              </w:pict>
            </w:r>
            <w:r w:rsidRPr="004830F8">
              <w:rPr>
                <w:rFonts w:ascii="Times New Roman" w:hAnsi="Times New Roman" w:cs="Times New Roman"/>
                <w:sz w:val="24"/>
                <w:szCs w:val="24"/>
              </w:rPr>
              <w:t xml:space="preserve">         </w:t>
            </w:r>
            <w:r w:rsidRPr="004830F8">
              <w:rPr>
                <w:rFonts w:ascii="Times New Roman" w:hAnsi="Times New Roman" w:cs="Times New Roman"/>
                <w:kern w:val="20"/>
                <w:sz w:val="24"/>
                <w:szCs w:val="24"/>
              </w:rPr>
              <w:t xml:space="preserve">N </w:t>
            </w:r>
          </w:p>
        </w:tc>
      </w:tr>
      <w:tr w:rsidR="00B51E2A" w:rsidRPr="00683FBA" w:rsidTr="006D3292">
        <w:trPr>
          <w:trHeight w:val="430"/>
        </w:trPr>
        <w:tc>
          <w:tcPr>
            <w:tcW w:w="4710" w:type="dxa"/>
            <w:vMerge/>
          </w:tcPr>
          <w:p w:rsidR="00B51E2A" w:rsidRPr="00683FBA" w:rsidRDefault="00B51E2A" w:rsidP="006D3292">
            <w:pPr>
              <w:pStyle w:val="Heading1"/>
              <w:ind w:firstLine="360"/>
              <w:outlineLvl w:val="0"/>
              <w:rPr>
                <w:rFonts w:ascii="Times New Roman" w:hAnsi="Times New Roman" w:cs="Times New Roman"/>
                <w:b w:val="0"/>
                <w:color w:val="000000" w:themeColor="text1"/>
                <w:sz w:val="24"/>
                <w:szCs w:val="24"/>
              </w:rPr>
            </w:pPr>
          </w:p>
        </w:tc>
        <w:tc>
          <w:tcPr>
            <w:tcW w:w="4172" w:type="dxa"/>
          </w:tcPr>
          <w:p w:rsidR="00B51E2A" w:rsidRPr="004830F8" w:rsidRDefault="00B51E2A" w:rsidP="006D3292">
            <w:pPr>
              <w:rPr>
                <w:rFonts w:ascii="Times New Roman" w:hAnsi="Times New Roman" w:cs="Times New Roman"/>
                <w:sz w:val="24"/>
                <w:szCs w:val="24"/>
              </w:rPr>
            </w:pPr>
            <w:r w:rsidRPr="004830F8">
              <w:rPr>
                <w:rFonts w:ascii="Times New Roman" w:hAnsi="Times New Roman" w:cs="Times New Roman"/>
                <w:kern w:val="20"/>
                <w:sz w:val="24"/>
                <w:szCs w:val="24"/>
              </w:rPr>
              <w:t xml:space="preserve">        </w:t>
            </w:r>
            <w:r w:rsidRPr="004830F8">
              <w:rPr>
                <w:rFonts w:ascii="Times New Roman" w:hAnsi="Times New Roman" w:cs="Times New Roman"/>
                <w:kern w:val="20"/>
                <w:sz w:val="24"/>
                <w:szCs w:val="24"/>
              </w:rPr>
              <w:sym w:font="Symbol" w:char="F0E5"/>
            </w:r>
            <w:r w:rsidRPr="004830F8">
              <w:rPr>
                <w:rFonts w:ascii="Times New Roman" w:hAnsi="Times New Roman" w:cs="Times New Roman"/>
                <w:kern w:val="20"/>
                <w:sz w:val="24"/>
                <w:szCs w:val="24"/>
              </w:rPr>
              <w:t xml:space="preserve"> </w:t>
            </w:r>
            <w:proofErr w:type="spellStart"/>
            <w:r w:rsidRPr="004830F8">
              <w:rPr>
                <w:rFonts w:ascii="Times New Roman" w:hAnsi="Times New Roman" w:cs="Times New Roman"/>
                <w:kern w:val="20"/>
                <w:sz w:val="24"/>
                <w:szCs w:val="24"/>
              </w:rPr>
              <w:t>C</w:t>
            </w:r>
            <w:r w:rsidRPr="004830F8">
              <w:rPr>
                <w:rFonts w:ascii="Times New Roman" w:hAnsi="Times New Roman" w:cs="Times New Roman"/>
                <w:kern w:val="20"/>
                <w:sz w:val="24"/>
                <w:szCs w:val="24"/>
                <w:vertAlign w:val="subscript"/>
              </w:rPr>
              <w:t>n</w:t>
            </w:r>
            <w:proofErr w:type="spellEnd"/>
          </w:p>
        </w:tc>
      </w:tr>
    </w:tbl>
    <w:p w:rsidR="00B51E2A" w:rsidRPr="00683FBA" w:rsidRDefault="00B51E2A" w:rsidP="00B51E2A">
      <w:pPr>
        <w:pStyle w:val="BodyTextIndent"/>
        <w:spacing w:before="240"/>
        <w:ind w:left="720"/>
      </w:pPr>
      <w:r w:rsidRPr="00683FBA">
        <w:t xml:space="preserve">Where </w:t>
      </w:r>
      <w:proofErr w:type="spellStart"/>
      <w:r w:rsidRPr="00683FBA">
        <w:t>C</w:t>
      </w:r>
      <w:r w:rsidRPr="00683FBA">
        <w:rPr>
          <w:vertAlign w:val="subscript"/>
        </w:rPr>
        <w:t>n</w:t>
      </w:r>
      <w:proofErr w:type="spellEnd"/>
      <w:r w:rsidRPr="00683FBA">
        <w:t xml:space="preserve"> is the number of credits earned for the course n in any semester and </w:t>
      </w:r>
      <w:proofErr w:type="spellStart"/>
      <w:r w:rsidRPr="00683FBA">
        <w:t>M</w:t>
      </w:r>
      <w:r w:rsidRPr="00683FBA">
        <w:rPr>
          <w:vertAlign w:val="subscript"/>
        </w:rPr>
        <w:t>n</w:t>
      </w:r>
      <w:proofErr w:type="spellEnd"/>
      <w:r w:rsidRPr="00683FBA">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the other courses in which the students have appeared but secured less than 50% marks shall be treated as “Audit Courses” and the same shall be reflected in the Final mark sheet accordingly.</w:t>
      </w:r>
    </w:p>
    <w:p w:rsidR="00B51E2A" w:rsidRPr="00683FBA" w:rsidRDefault="00B51E2A" w:rsidP="00B51E2A">
      <w:pPr>
        <w:pStyle w:val="BodyTextIndent"/>
        <w:spacing w:before="240"/>
        <w:ind w:left="720"/>
      </w:pPr>
      <w:r w:rsidRPr="00683FBA">
        <w:t> CPI of the candidate shall be calculated on the basis of the minimum credits required for each programme considering his/her performance in the subjects, wherein he/she has secured highest marks. However in the mark sheet, the maximum credits earned by the candidate shall also be reflected.</w:t>
      </w:r>
    </w:p>
    <w:p w:rsidR="00B51E2A" w:rsidRPr="00683FBA" w:rsidRDefault="00B51E2A" w:rsidP="00B51E2A">
      <w:pPr>
        <w:pStyle w:val="BodyTextIndent"/>
        <w:spacing w:before="240"/>
        <w:ind w:left="720" w:hanging="720"/>
      </w:pPr>
      <w:r w:rsidRPr="00683FBA">
        <w:t> </w:t>
      </w:r>
      <w:r w:rsidRPr="00683FBA">
        <w:rPr>
          <w:b/>
          <w:bCs/>
        </w:rPr>
        <w:t>15.</w:t>
      </w:r>
      <w:r w:rsidRPr="00683FBA">
        <w:tab/>
        <w:t xml:space="preserve">Subject to the provisions of the Act, the Statutes and the Ordinances such administrative issues as disorderly conduct in examinations, other malpractices, dates for submission of examination forms, issue of duplicate degrees / diplomas, instructions to examiners, superintendents, invigilators, their remuneration and any other matter connected with the </w:t>
      </w:r>
      <w:r w:rsidRPr="00683FBA">
        <w:lastRenderedPageBreak/>
        <w:t>conduct of examinations will be dealt with as per the guidelines approved for the purposes by the Academic Council.</w:t>
      </w:r>
    </w:p>
    <w:p w:rsidR="00B51E2A" w:rsidRPr="00683FBA" w:rsidRDefault="00B51E2A" w:rsidP="00B51E2A">
      <w:pPr>
        <w:pStyle w:val="BodyTextIndent"/>
        <w:spacing w:before="240"/>
        <w:ind w:left="720" w:hanging="720"/>
      </w:pPr>
      <w:r w:rsidRPr="00683FBA">
        <w:t> </w:t>
      </w:r>
      <w:r w:rsidRPr="00683FBA">
        <w:rPr>
          <w:b/>
          <w:bCs/>
        </w:rPr>
        <w:t>16.</w:t>
      </w:r>
      <w:r w:rsidRPr="00683FBA">
        <w:tab/>
        <w:t>Notwithstanding anything stated in this Ordinance, for any unforeseen issues arising, and not covered by this Ordinance, or in the event of differences of interpretation, the Vice-Chancellor may take a decision, after obtaining if necessary the opinion / advice of a Committee consisting of any or all the Deans of the Schools. The decision of the Vice-Chancellor shall be final.</w:t>
      </w:r>
    </w:p>
    <w:p w:rsidR="00B51E2A" w:rsidRPr="00683FBA" w:rsidRDefault="00B51E2A" w:rsidP="00B51E2A">
      <w:pPr>
        <w:spacing w:after="0" w:line="20" w:lineRule="atLeast"/>
        <w:jc w:val="right"/>
        <w:rPr>
          <w:rFonts w:ascii="Times New Roman" w:hAnsi="Times New Roman" w:cs="Times New Roman"/>
          <w:sz w:val="24"/>
          <w:szCs w:val="24"/>
        </w:rPr>
      </w:pP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 xml:space="preserve">   </w:t>
      </w:r>
    </w:p>
    <w:p w:rsidR="00B51E2A" w:rsidRPr="00683FBA" w:rsidRDefault="00B51E2A" w:rsidP="00B51E2A">
      <w:pPr>
        <w:pStyle w:val="PlainText"/>
        <w:ind w:left="720" w:right="54"/>
        <w:rPr>
          <w:rFonts w:ascii="Times New Roman" w:hAnsi="Times New Roman"/>
          <w:b/>
          <w:iCs/>
          <w:sz w:val="24"/>
          <w:szCs w:val="24"/>
        </w:rPr>
      </w:pPr>
      <w:r w:rsidRPr="00683FBA">
        <w:rPr>
          <w:rFonts w:ascii="Times New Roman" w:hAnsi="Times New Roman"/>
          <w:b/>
          <w:iCs/>
          <w:sz w:val="24"/>
          <w:szCs w:val="24"/>
        </w:rPr>
        <w:t>BOM Resolution – 22</w:t>
      </w:r>
      <w:r w:rsidRPr="00683FBA">
        <w:rPr>
          <w:rFonts w:ascii="Times New Roman" w:hAnsi="Times New Roman"/>
          <w:b/>
          <w:iCs/>
          <w:sz w:val="24"/>
          <w:szCs w:val="24"/>
          <w:vertAlign w:val="superscript"/>
        </w:rPr>
        <w:t>nd</w:t>
      </w:r>
      <w:r w:rsidRPr="00683FBA">
        <w:rPr>
          <w:rFonts w:ascii="Times New Roman" w:hAnsi="Times New Roman"/>
          <w:b/>
          <w:iCs/>
          <w:sz w:val="24"/>
          <w:szCs w:val="24"/>
        </w:rPr>
        <w:t xml:space="preserve"> meeting dated 02.09.2003</w:t>
      </w:r>
    </w:p>
    <w:p w:rsidR="00B51E2A" w:rsidRPr="00683FBA" w:rsidRDefault="00B51E2A" w:rsidP="00B51E2A">
      <w:pPr>
        <w:spacing w:after="0" w:line="240" w:lineRule="auto"/>
        <w:ind w:left="720"/>
        <w:rPr>
          <w:rFonts w:ascii="Times New Roman" w:hAnsi="Times New Roman" w:cs="Times New Roman"/>
          <w:b/>
          <w:sz w:val="24"/>
          <w:szCs w:val="24"/>
        </w:rPr>
      </w:pP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B51E2A" w:rsidRDefault="00B51E2A" w:rsidP="00B51E2A">
      <w:pPr>
        <w:spacing w:after="0" w:line="20" w:lineRule="atLeast"/>
        <w:ind w:left="720"/>
        <w:rPr>
          <w:rFonts w:ascii="Times New Roman" w:hAnsi="Times New Roman" w:cs="Times New Roman"/>
          <w:b/>
          <w:sz w:val="24"/>
          <w:szCs w:val="24"/>
        </w:rPr>
      </w:pPr>
    </w:p>
    <w:p w:rsidR="00B51E2A" w:rsidRDefault="00B51E2A" w:rsidP="00B51E2A">
      <w:pPr>
        <w:spacing w:after="0" w:line="20" w:lineRule="atLeast"/>
        <w:ind w:left="720"/>
        <w:rPr>
          <w:rFonts w:ascii="Times New Roman" w:hAnsi="Times New Roman" w:cs="Times New Roman"/>
          <w:b/>
          <w:sz w:val="24"/>
          <w:szCs w:val="24"/>
        </w:rPr>
      </w:pPr>
    </w:p>
    <w:p w:rsidR="00B51E2A" w:rsidRPr="00683FBA" w:rsidRDefault="00B51E2A" w:rsidP="00B51E2A">
      <w:pPr>
        <w:spacing w:after="0" w:line="20" w:lineRule="atLeast"/>
        <w:ind w:left="720"/>
        <w:rPr>
          <w:rFonts w:ascii="Times New Roman" w:hAnsi="Times New Roman" w:cs="Times New Roman"/>
          <w:b/>
          <w:sz w:val="24"/>
          <w:szCs w:val="24"/>
        </w:rPr>
      </w:pP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41.03 dated 29.06.2009</w:t>
      </w:r>
    </w:p>
    <w:p w:rsidR="00B51E2A" w:rsidRPr="00683FBA" w:rsidRDefault="00B51E2A" w:rsidP="00B51E2A">
      <w:pPr>
        <w:spacing w:after="0" w:line="20" w:lineRule="atLeast"/>
        <w:ind w:left="720"/>
        <w:rPr>
          <w:rFonts w:ascii="Times New Roman" w:hAnsi="Times New Roman" w:cs="Times New Roman"/>
          <w:b/>
          <w:sz w:val="24"/>
          <w:szCs w:val="24"/>
        </w:rPr>
      </w:pPr>
      <w:proofErr w:type="gramStart"/>
      <w:r w:rsidRPr="00683FBA">
        <w:rPr>
          <w:rFonts w:ascii="Times New Roman" w:hAnsi="Times New Roman" w:cs="Times New Roman"/>
          <w:b/>
          <w:sz w:val="24"/>
          <w:szCs w:val="24"/>
        </w:rPr>
        <w:t>Gazette Notification No.</w:t>
      </w:r>
      <w:proofErr w:type="gramEnd"/>
      <w:r w:rsidRPr="00683FBA">
        <w:rPr>
          <w:rFonts w:ascii="Times New Roman" w:hAnsi="Times New Roman" w:cs="Times New Roman"/>
          <w:b/>
          <w:sz w:val="24"/>
          <w:szCs w:val="24"/>
        </w:rPr>
        <w:t xml:space="preserve">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29)/Ord./IPU/ADRP/2009/11727 dated 20.10.2009</w:t>
      </w:r>
    </w:p>
    <w:p w:rsidR="00B51E2A" w:rsidRDefault="00B51E2A" w:rsidP="00B51E2A">
      <w:pPr>
        <w:pStyle w:val="BodyText2"/>
        <w:ind w:left="2880" w:right="288" w:hanging="2160"/>
      </w:pPr>
      <w:r w:rsidRPr="00683FBA">
        <w:rPr>
          <w:rFonts w:ascii="Times New Roman" w:hAnsi="Times New Roman" w:cs="Times New Roman"/>
          <w:b/>
          <w:i/>
          <w:sz w:val="24"/>
          <w:szCs w:val="24"/>
        </w:rPr>
        <w:t>[Partial amendment in Clause 10 (b) – (</w:t>
      </w:r>
      <w:proofErr w:type="spellStart"/>
      <w:r w:rsidRPr="00683FBA">
        <w:rPr>
          <w:rFonts w:ascii="Times New Roman" w:hAnsi="Times New Roman" w:cs="Times New Roman"/>
          <w:b/>
          <w:i/>
          <w:sz w:val="24"/>
          <w:szCs w:val="24"/>
        </w:rPr>
        <w:t>i</w:t>
      </w:r>
      <w:proofErr w:type="spellEnd"/>
      <w:r w:rsidRPr="00683FBA">
        <w:rPr>
          <w:rFonts w:ascii="Times New Roman" w:hAnsi="Times New Roman" w:cs="Times New Roman"/>
          <w:b/>
          <w:i/>
          <w:sz w:val="24"/>
          <w:szCs w:val="24"/>
        </w:rPr>
        <w:t>), (iii) and Clause 10 (c)]</w:t>
      </w:r>
      <w:r>
        <w:t xml:space="preserve"> </w:t>
      </w:r>
    </w:p>
    <w:p w:rsidR="009639E5" w:rsidRDefault="009639E5"/>
    <w:sectPr w:rsidR="009639E5"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37AE6"/>
    <w:multiLevelType w:val="hybridMultilevel"/>
    <w:tmpl w:val="B722036E"/>
    <w:lvl w:ilvl="0" w:tplc="26608BE2">
      <w:start w:val="1"/>
      <w:numFmt w:val="lowerLetter"/>
      <w:lvlText w:val="(%1)"/>
      <w:lvlJc w:val="left"/>
      <w:pPr>
        <w:tabs>
          <w:tab w:val="num" w:pos="1440"/>
        </w:tabs>
        <w:ind w:left="1440" w:hanging="720"/>
      </w:pPr>
    </w:lvl>
    <w:lvl w:ilvl="1" w:tplc="E8802CAA">
      <w:start w:val="7"/>
      <w:numFmt w:val="decimal"/>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BC5A40"/>
    <w:multiLevelType w:val="hybridMultilevel"/>
    <w:tmpl w:val="235E2002"/>
    <w:lvl w:ilvl="0" w:tplc="40090001">
      <w:start w:val="1"/>
      <w:numFmt w:val="bullet"/>
      <w:lvlText w:val=""/>
      <w:lvlJc w:val="left"/>
      <w:pPr>
        <w:ind w:left="929" w:hanging="360"/>
      </w:pPr>
      <w:rPr>
        <w:rFonts w:ascii="Symbol" w:hAnsi="Symbol" w:hint="default"/>
      </w:rPr>
    </w:lvl>
    <w:lvl w:ilvl="1" w:tplc="40090019" w:tentative="1">
      <w:start w:val="1"/>
      <w:numFmt w:val="lowerLetter"/>
      <w:lvlText w:val="%2."/>
      <w:lvlJc w:val="left"/>
      <w:pPr>
        <w:ind w:left="1649" w:hanging="360"/>
      </w:pPr>
    </w:lvl>
    <w:lvl w:ilvl="2" w:tplc="4009001B">
      <w:start w:val="1"/>
      <w:numFmt w:val="lowerRoman"/>
      <w:lvlText w:val="%3."/>
      <w:lvlJc w:val="right"/>
      <w:pPr>
        <w:ind w:left="2369" w:hanging="180"/>
      </w:pPr>
    </w:lvl>
    <w:lvl w:ilvl="3" w:tplc="4009000F" w:tentative="1">
      <w:start w:val="1"/>
      <w:numFmt w:val="decimal"/>
      <w:lvlText w:val="%4."/>
      <w:lvlJc w:val="left"/>
      <w:pPr>
        <w:ind w:left="3089" w:hanging="360"/>
      </w:pPr>
    </w:lvl>
    <w:lvl w:ilvl="4" w:tplc="40090019" w:tentative="1">
      <w:start w:val="1"/>
      <w:numFmt w:val="lowerLetter"/>
      <w:lvlText w:val="%5."/>
      <w:lvlJc w:val="left"/>
      <w:pPr>
        <w:ind w:left="3809" w:hanging="360"/>
      </w:pPr>
    </w:lvl>
    <w:lvl w:ilvl="5" w:tplc="4009001B" w:tentative="1">
      <w:start w:val="1"/>
      <w:numFmt w:val="lowerRoman"/>
      <w:lvlText w:val="%6."/>
      <w:lvlJc w:val="right"/>
      <w:pPr>
        <w:ind w:left="4529" w:hanging="180"/>
      </w:pPr>
    </w:lvl>
    <w:lvl w:ilvl="6" w:tplc="4009000F" w:tentative="1">
      <w:start w:val="1"/>
      <w:numFmt w:val="decimal"/>
      <w:lvlText w:val="%7."/>
      <w:lvlJc w:val="left"/>
      <w:pPr>
        <w:ind w:left="5249" w:hanging="360"/>
      </w:pPr>
    </w:lvl>
    <w:lvl w:ilvl="7" w:tplc="40090019" w:tentative="1">
      <w:start w:val="1"/>
      <w:numFmt w:val="lowerLetter"/>
      <w:lvlText w:val="%8."/>
      <w:lvlJc w:val="left"/>
      <w:pPr>
        <w:ind w:left="5969" w:hanging="360"/>
      </w:pPr>
    </w:lvl>
    <w:lvl w:ilvl="8" w:tplc="4009001B" w:tentative="1">
      <w:start w:val="1"/>
      <w:numFmt w:val="lowerRoman"/>
      <w:lvlText w:val="%9."/>
      <w:lvlJc w:val="right"/>
      <w:pPr>
        <w:ind w:left="6689" w:hanging="180"/>
      </w:pPr>
    </w:lvl>
  </w:abstractNum>
  <w:abstractNum w:abstractNumId="2">
    <w:nsid w:val="27EC3215"/>
    <w:multiLevelType w:val="hybridMultilevel"/>
    <w:tmpl w:val="3CFAC6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078287C"/>
    <w:multiLevelType w:val="hybridMultilevel"/>
    <w:tmpl w:val="BF469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E83582"/>
    <w:multiLevelType w:val="hybridMultilevel"/>
    <w:tmpl w:val="0C8EF612"/>
    <w:lvl w:ilvl="0" w:tplc="40090019">
      <w:start w:val="1"/>
      <w:numFmt w:val="lowerLetter"/>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5A477F8"/>
    <w:multiLevelType w:val="hybridMultilevel"/>
    <w:tmpl w:val="5150E52A"/>
    <w:lvl w:ilvl="0" w:tplc="6100B092">
      <w:start w:val="1"/>
      <w:numFmt w:val="lowerLetter"/>
      <w:lvlText w:val="(%1)"/>
      <w:lvlJc w:val="left"/>
      <w:pPr>
        <w:tabs>
          <w:tab w:val="num" w:pos="1440"/>
        </w:tabs>
        <w:ind w:left="1440" w:hanging="720"/>
      </w:pPr>
    </w:lvl>
    <w:lvl w:ilvl="1" w:tplc="FD00B42A">
      <w:start w:val="1"/>
      <w:numFmt w:val="lowerRoman"/>
      <w:lvlText w:val="(%2)"/>
      <w:lvlJc w:val="left"/>
      <w:pPr>
        <w:tabs>
          <w:tab w:val="num" w:pos="2160"/>
        </w:tabs>
        <w:ind w:left="216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1E2A"/>
    <w:rsid w:val="000411FB"/>
    <w:rsid w:val="000F2B59"/>
    <w:rsid w:val="001311C2"/>
    <w:rsid w:val="001D7A0F"/>
    <w:rsid w:val="00225019"/>
    <w:rsid w:val="00267E04"/>
    <w:rsid w:val="00321D9D"/>
    <w:rsid w:val="00345781"/>
    <w:rsid w:val="003A6EA6"/>
    <w:rsid w:val="003A7ED2"/>
    <w:rsid w:val="004701AA"/>
    <w:rsid w:val="00511CB8"/>
    <w:rsid w:val="005C7D32"/>
    <w:rsid w:val="009639E5"/>
    <w:rsid w:val="00B45F0D"/>
    <w:rsid w:val="00B51E2A"/>
    <w:rsid w:val="00C707EC"/>
    <w:rsid w:val="00CF72DE"/>
    <w:rsid w:val="00D4608B"/>
    <w:rsid w:val="00D76E4D"/>
    <w:rsid w:val="00D90E68"/>
    <w:rsid w:val="00E43C43"/>
    <w:rsid w:val="00F53311"/>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E2A"/>
    <w:rPr>
      <w:rFonts w:eastAsiaTheme="minorEastAsia"/>
      <w:lang w:val="en-IN" w:eastAsia="en-IN"/>
    </w:rPr>
  </w:style>
  <w:style w:type="paragraph" w:styleId="Heading1">
    <w:name w:val="heading 1"/>
    <w:basedOn w:val="Normal"/>
    <w:next w:val="Normal"/>
    <w:link w:val="Heading1Char"/>
    <w:uiPriority w:val="9"/>
    <w:qFormat/>
    <w:rsid w:val="00B51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51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51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51E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B51E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B51E2A"/>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B51E2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B51E2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B51E2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2A"/>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B51E2A"/>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B51E2A"/>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B51E2A"/>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B51E2A"/>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B51E2A"/>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B51E2A"/>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B51E2A"/>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B51E2A"/>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B51E2A"/>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B51E2A"/>
    <w:rPr>
      <w:rFonts w:ascii="Courier New" w:eastAsia="Times New Roman" w:hAnsi="Courier New" w:cs="Times New Roman"/>
      <w:sz w:val="20"/>
      <w:szCs w:val="20"/>
    </w:rPr>
  </w:style>
  <w:style w:type="paragraph" w:styleId="Header">
    <w:name w:val="header"/>
    <w:basedOn w:val="Normal"/>
    <w:link w:val="HeaderChar"/>
    <w:uiPriority w:val="99"/>
    <w:unhideWhenUsed/>
    <w:rsid w:val="00B51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E2A"/>
    <w:rPr>
      <w:rFonts w:eastAsiaTheme="minorEastAsia"/>
      <w:lang w:val="en-IN" w:eastAsia="en-IN"/>
    </w:rPr>
  </w:style>
  <w:style w:type="paragraph" w:styleId="Footer">
    <w:name w:val="footer"/>
    <w:basedOn w:val="Normal"/>
    <w:link w:val="FooterChar"/>
    <w:unhideWhenUsed/>
    <w:rsid w:val="00B51E2A"/>
    <w:pPr>
      <w:tabs>
        <w:tab w:val="center" w:pos="4513"/>
        <w:tab w:val="right" w:pos="9026"/>
      </w:tabs>
      <w:spacing w:after="0" w:line="240" w:lineRule="auto"/>
    </w:pPr>
  </w:style>
  <w:style w:type="character" w:customStyle="1" w:styleId="FooterChar">
    <w:name w:val="Footer Char"/>
    <w:basedOn w:val="DefaultParagraphFont"/>
    <w:link w:val="Footer"/>
    <w:rsid w:val="00B51E2A"/>
    <w:rPr>
      <w:rFonts w:eastAsiaTheme="minorEastAsia"/>
      <w:lang w:val="en-IN" w:eastAsia="en-IN"/>
    </w:rPr>
  </w:style>
  <w:style w:type="paragraph" w:styleId="BodyText">
    <w:name w:val="Body Text"/>
    <w:basedOn w:val="Normal"/>
    <w:link w:val="BodyTextChar"/>
    <w:rsid w:val="00B51E2A"/>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B51E2A"/>
    <w:rPr>
      <w:rFonts w:ascii="Times New Roman" w:eastAsia="Times New Roman" w:hAnsi="Times New Roman" w:cs="Times New Roman"/>
      <w:b/>
      <w:bCs/>
      <w:sz w:val="40"/>
      <w:szCs w:val="24"/>
    </w:rPr>
  </w:style>
  <w:style w:type="paragraph" w:styleId="BodyTextIndent">
    <w:name w:val="Body Text Indent"/>
    <w:basedOn w:val="Normal"/>
    <w:link w:val="BodyTextIndentChar"/>
    <w:rsid w:val="00B51E2A"/>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B51E2A"/>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B51E2A"/>
    <w:pPr>
      <w:spacing w:after="120" w:line="480" w:lineRule="auto"/>
      <w:ind w:left="283"/>
    </w:pPr>
  </w:style>
  <w:style w:type="character" w:customStyle="1" w:styleId="BodyTextIndent2Char">
    <w:name w:val="Body Text Indent 2 Char"/>
    <w:basedOn w:val="DefaultParagraphFont"/>
    <w:link w:val="BodyTextIndent2"/>
    <w:rsid w:val="00B51E2A"/>
    <w:rPr>
      <w:rFonts w:eastAsiaTheme="minorEastAsia"/>
      <w:lang w:val="en-IN" w:eastAsia="en-IN"/>
    </w:rPr>
  </w:style>
  <w:style w:type="paragraph" w:styleId="BodyTextIndent3">
    <w:name w:val="Body Text Indent 3"/>
    <w:basedOn w:val="Normal"/>
    <w:link w:val="BodyTextIndent3Char"/>
    <w:unhideWhenUsed/>
    <w:rsid w:val="00B51E2A"/>
    <w:pPr>
      <w:spacing w:after="120"/>
      <w:ind w:left="283"/>
    </w:pPr>
    <w:rPr>
      <w:sz w:val="16"/>
      <w:szCs w:val="16"/>
    </w:rPr>
  </w:style>
  <w:style w:type="character" w:customStyle="1" w:styleId="BodyTextIndent3Char">
    <w:name w:val="Body Text Indent 3 Char"/>
    <w:basedOn w:val="DefaultParagraphFont"/>
    <w:link w:val="BodyTextIndent3"/>
    <w:rsid w:val="00B51E2A"/>
    <w:rPr>
      <w:rFonts w:eastAsiaTheme="minorEastAsia"/>
      <w:sz w:val="16"/>
      <w:szCs w:val="16"/>
      <w:lang w:val="en-IN" w:eastAsia="en-IN"/>
    </w:rPr>
  </w:style>
  <w:style w:type="paragraph" w:styleId="BodyText2">
    <w:name w:val="Body Text 2"/>
    <w:basedOn w:val="Normal"/>
    <w:link w:val="BodyText2Char"/>
    <w:unhideWhenUsed/>
    <w:rsid w:val="00B51E2A"/>
    <w:pPr>
      <w:spacing w:after="120" w:line="480" w:lineRule="auto"/>
    </w:pPr>
  </w:style>
  <w:style w:type="character" w:customStyle="1" w:styleId="BodyText2Char">
    <w:name w:val="Body Text 2 Char"/>
    <w:basedOn w:val="DefaultParagraphFont"/>
    <w:link w:val="BodyText2"/>
    <w:rsid w:val="00B51E2A"/>
    <w:rPr>
      <w:rFonts w:eastAsiaTheme="minorEastAsia"/>
      <w:lang w:val="en-IN" w:eastAsia="en-IN"/>
    </w:rPr>
  </w:style>
  <w:style w:type="paragraph" w:styleId="ListParagraph">
    <w:name w:val="List Paragraph"/>
    <w:basedOn w:val="Normal"/>
    <w:uiPriority w:val="34"/>
    <w:qFormat/>
    <w:rsid w:val="00B51E2A"/>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B51E2A"/>
    <w:pPr>
      <w:spacing w:after="120"/>
    </w:pPr>
    <w:rPr>
      <w:sz w:val="16"/>
      <w:szCs w:val="16"/>
    </w:rPr>
  </w:style>
  <w:style w:type="character" w:customStyle="1" w:styleId="BodyText3Char">
    <w:name w:val="Body Text 3 Char"/>
    <w:basedOn w:val="DefaultParagraphFont"/>
    <w:link w:val="BodyText3"/>
    <w:rsid w:val="00B51E2A"/>
    <w:rPr>
      <w:rFonts w:eastAsiaTheme="minorEastAsia"/>
      <w:sz w:val="16"/>
      <w:szCs w:val="16"/>
      <w:lang w:val="en-IN" w:eastAsia="en-IN"/>
    </w:rPr>
  </w:style>
  <w:style w:type="table" w:styleId="TableGrid">
    <w:name w:val="Table Grid"/>
    <w:basedOn w:val="TableNormal"/>
    <w:rsid w:val="00B51E2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B51E2A"/>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B51E2A"/>
    <w:rPr>
      <w:rFonts w:ascii="Times New Roman" w:eastAsia="Times New Roman" w:hAnsi="Times New Roman" w:cs="Times New Roman"/>
      <w:sz w:val="20"/>
      <w:szCs w:val="20"/>
    </w:rPr>
  </w:style>
  <w:style w:type="paragraph" w:styleId="BlockText">
    <w:name w:val="Block Text"/>
    <w:basedOn w:val="Normal"/>
    <w:rsid w:val="00B51E2A"/>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B51E2A"/>
  </w:style>
  <w:style w:type="paragraph" w:styleId="Title">
    <w:name w:val="Title"/>
    <w:basedOn w:val="Normal"/>
    <w:link w:val="TitleChar"/>
    <w:qFormat/>
    <w:rsid w:val="00B51E2A"/>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B51E2A"/>
    <w:rPr>
      <w:rFonts w:ascii="Times New Roman" w:eastAsia="Times New Roman" w:hAnsi="Times New Roman" w:cs="Times New Roman"/>
      <w:b/>
      <w:bCs/>
      <w:i/>
      <w:iCs/>
      <w:sz w:val="36"/>
      <w:szCs w:val="24"/>
    </w:rPr>
  </w:style>
  <w:style w:type="paragraph" w:styleId="Subtitle">
    <w:name w:val="Subtitle"/>
    <w:basedOn w:val="Normal"/>
    <w:link w:val="SubtitleChar"/>
    <w:qFormat/>
    <w:rsid w:val="00B51E2A"/>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B51E2A"/>
    <w:rPr>
      <w:rFonts w:ascii="Times New Roman" w:eastAsia="Times New Roman" w:hAnsi="Times New Roman" w:cs="Times New Roman"/>
      <w:b/>
      <w:sz w:val="26"/>
      <w:szCs w:val="20"/>
    </w:rPr>
  </w:style>
  <w:style w:type="character" w:styleId="Hyperlink">
    <w:name w:val="Hyperlink"/>
    <w:basedOn w:val="DefaultParagraphFont"/>
    <w:rsid w:val="00B51E2A"/>
    <w:rPr>
      <w:color w:val="0000FF"/>
      <w:u w:val="single"/>
    </w:rPr>
  </w:style>
  <w:style w:type="character" w:styleId="FollowedHyperlink">
    <w:name w:val="FollowedHyperlink"/>
    <w:basedOn w:val="DefaultParagraphFont"/>
    <w:rsid w:val="00B51E2A"/>
    <w:rPr>
      <w:color w:val="800080"/>
      <w:u w:val="single"/>
    </w:rPr>
  </w:style>
  <w:style w:type="paragraph" w:styleId="BalloonText">
    <w:name w:val="Balloon Text"/>
    <w:basedOn w:val="Normal"/>
    <w:link w:val="BalloonTextChar"/>
    <w:uiPriority w:val="99"/>
    <w:unhideWhenUsed/>
    <w:rsid w:val="00B51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51E2A"/>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B51E2A"/>
  </w:style>
  <w:style w:type="character" w:customStyle="1" w:styleId="apple-style-span">
    <w:name w:val="apple-style-span"/>
    <w:basedOn w:val="DefaultParagraphFont"/>
    <w:rsid w:val="00B51E2A"/>
  </w:style>
  <w:style w:type="paragraph" w:styleId="NoSpacing">
    <w:name w:val="No Spacing"/>
    <w:uiPriority w:val="1"/>
    <w:qFormat/>
    <w:rsid w:val="00B51E2A"/>
    <w:pPr>
      <w:spacing w:after="0" w:line="240" w:lineRule="auto"/>
    </w:pPr>
    <w:rPr>
      <w:rFonts w:ascii="Calibri" w:eastAsia="PMingLiU" w:hAnsi="Calibri" w:cs="Times New Roman"/>
      <w:lang w:val="en-IN" w:eastAsia="zh-TW"/>
    </w:rPr>
  </w:style>
  <w:style w:type="paragraph" w:styleId="NormalWeb">
    <w:name w:val="Normal (Web)"/>
    <w:basedOn w:val="Normal"/>
    <w:rsid w:val="00B51E2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3664</Words>
  <Characters>20889</Characters>
  <Application>Microsoft Office Word</Application>
  <DocSecurity>0</DocSecurity>
  <Lines>174</Lines>
  <Paragraphs>49</Paragraphs>
  <ScaleCrop>false</ScaleCrop>
  <Company>Hewlett-Packard Company</Company>
  <LinksUpToDate>false</LinksUpToDate>
  <CharactersWithSpaces>24504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2012-09-18T09:40:00Z</dcterms:created>
  <dcterms:modified xsi:type="dcterms:W3CDTF">2012-09-18T09:41:00Z</dcterms:modified>
</cp:coreProperties>
</file>