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E85" w:rsidRPr="00683FBA" w:rsidRDefault="00822E85" w:rsidP="00822E85">
      <w:pPr>
        <w:ind w:left="2160" w:hanging="1843"/>
        <w:jc w:val="both"/>
        <w:rPr>
          <w:rFonts w:ascii="Times New Roman" w:hAnsi="Times New Roman" w:cs="Times New Roman"/>
          <w:b/>
          <w:bCs/>
          <w:sz w:val="24"/>
          <w:szCs w:val="24"/>
        </w:rPr>
      </w:pPr>
      <w:r w:rsidRPr="00683FBA">
        <w:rPr>
          <w:rFonts w:ascii="Times New Roman" w:hAnsi="Times New Roman" w:cs="Times New Roman"/>
          <w:b/>
          <w:bCs/>
          <w:sz w:val="24"/>
          <w:szCs w:val="24"/>
        </w:rPr>
        <w:t xml:space="preserve">ORDINANCE </w:t>
      </w:r>
      <w:proofErr w:type="gramStart"/>
      <w:r w:rsidRPr="00683FBA">
        <w:rPr>
          <w:rFonts w:ascii="Times New Roman" w:hAnsi="Times New Roman" w:cs="Times New Roman"/>
          <w:b/>
          <w:bCs/>
          <w:sz w:val="24"/>
          <w:szCs w:val="24"/>
        </w:rPr>
        <w:t>30 :</w:t>
      </w:r>
      <w:proofErr w:type="gramEnd"/>
      <w:r w:rsidRPr="00683FBA">
        <w:rPr>
          <w:rFonts w:ascii="Times New Roman" w:hAnsi="Times New Roman" w:cs="Times New Roman"/>
          <w:b/>
          <w:bCs/>
          <w:sz w:val="24"/>
          <w:szCs w:val="24"/>
        </w:rPr>
        <w:t xml:space="preserve"> RESERVATION POLICY FOR THE SELF-FINANCING PRIVATE INSTITUTIONS AFFILIATED WITH THE GURU GOBIND SINGH INDRAPRASTHA UNIVERSITY.</w:t>
      </w:r>
    </w:p>
    <w:p w:rsidR="00822E85" w:rsidRPr="00683FBA" w:rsidRDefault="00822E85" w:rsidP="00822E85">
      <w:pPr>
        <w:pStyle w:val="BodyText"/>
        <w:jc w:val="both"/>
        <w:rPr>
          <w:b w:val="0"/>
          <w:sz w:val="24"/>
        </w:rPr>
      </w:pPr>
      <w:r w:rsidRPr="00683FBA">
        <w:rPr>
          <w:b w:val="0"/>
          <w:sz w:val="24"/>
        </w:rPr>
        <w:t xml:space="preserve">    </w:t>
      </w:r>
      <w:r>
        <w:rPr>
          <w:b w:val="0"/>
          <w:sz w:val="24"/>
        </w:rPr>
        <w:t xml:space="preserve">                             </w:t>
      </w:r>
      <w:r w:rsidRPr="00683FBA">
        <w:rPr>
          <w:b w:val="0"/>
          <w:sz w:val="24"/>
        </w:rPr>
        <w:t xml:space="preserve">                                                                                                                                                                         In pursuance of the provisions of Section 27 of the Guru Gobind Singh Indraprastha University Act 1998 (9 of 1998), the Board of Management of the Guru Gobind Singh Indraprastha University, hereby makes the following Ordinance:-</w:t>
      </w:r>
    </w:p>
    <w:p w:rsidR="00822E85" w:rsidRPr="00683FBA" w:rsidRDefault="00822E85" w:rsidP="00822E85">
      <w:pPr>
        <w:pStyle w:val="BodyText"/>
        <w:jc w:val="both"/>
        <w:rPr>
          <w:b w:val="0"/>
          <w:sz w:val="24"/>
        </w:rPr>
      </w:pPr>
    </w:p>
    <w:p w:rsidR="00822E85" w:rsidRPr="00683FBA" w:rsidRDefault="00822E85" w:rsidP="00822E85">
      <w:pPr>
        <w:pStyle w:val="BodyText"/>
        <w:ind w:left="1440" w:hanging="1440"/>
        <w:jc w:val="both"/>
        <w:rPr>
          <w:b w:val="0"/>
          <w:sz w:val="24"/>
        </w:rPr>
      </w:pPr>
      <w:r w:rsidRPr="00683FBA">
        <w:rPr>
          <w:b w:val="0"/>
          <w:sz w:val="24"/>
        </w:rPr>
        <w:t>Objective :</w:t>
      </w:r>
      <w:r w:rsidRPr="00683FBA">
        <w:rPr>
          <w:b w:val="0"/>
          <w:sz w:val="24"/>
        </w:rPr>
        <w:tab/>
        <w:t>The Ordinance is being promulgated under the provisions of newly inserted Article 15(5) of the Constitution of India read with Section 6 (2) of Guru Gobind Singh Indraprastha University Act, 1998 for making special provision for the advancement of weaker sections of the society, and in particular, of persons belonging to the Scheduled Castes and the Scheduled Tribes by making special provisions for their admission to self-financing private institutions affiliated with Guru Gobind Singh Indraprastha University.</w:t>
      </w:r>
    </w:p>
    <w:p w:rsidR="00822E85" w:rsidRPr="00683FBA" w:rsidRDefault="00822E85" w:rsidP="00822E85">
      <w:pPr>
        <w:pStyle w:val="BodyText"/>
        <w:ind w:left="1440" w:hanging="1440"/>
        <w:jc w:val="both"/>
        <w:rPr>
          <w:b w:val="0"/>
          <w:sz w:val="24"/>
        </w:rPr>
      </w:pPr>
    </w:p>
    <w:p w:rsidR="00822E85" w:rsidRPr="00683FBA" w:rsidRDefault="00822E85" w:rsidP="00822E85">
      <w:pPr>
        <w:pStyle w:val="BodyText"/>
        <w:spacing w:after="200"/>
        <w:ind w:left="720" w:hanging="720"/>
        <w:jc w:val="both"/>
        <w:rPr>
          <w:b w:val="0"/>
          <w:sz w:val="24"/>
        </w:rPr>
      </w:pPr>
      <w:r w:rsidRPr="00683FBA">
        <w:rPr>
          <w:b w:val="0"/>
          <w:sz w:val="24"/>
        </w:rPr>
        <w:t>1.</w:t>
      </w:r>
      <w:r w:rsidRPr="00683FBA">
        <w:rPr>
          <w:b w:val="0"/>
          <w:sz w:val="24"/>
        </w:rPr>
        <w:tab/>
        <w:t>Reservation of seats and procedure of filling the same in all the self-financing private institutions affiliated with Guru Gobind Singh Indraprastha University in respect of Delhi as well as Outside Delhi Category candidates would be as follows:</w:t>
      </w:r>
    </w:p>
    <w:p w:rsidR="00822E85" w:rsidRPr="00683FBA" w:rsidRDefault="00822E85" w:rsidP="00822E85">
      <w:pPr>
        <w:pStyle w:val="BodyText"/>
        <w:spacing w:after="200"/>
        <w:jc w:val="both"/>
        <w:rPr>
          <w:bCs w:val="0"/>
          <w:sz w:val="24"/>
        </w:rPr>
      </w:pPr>
      <w:r w:rsidRPr="00683FBA">
        <w:rPr>
          <w:bCs w:val="0"/>
          <w:sz w:val="24"/>
        </w:rPr>
        <w:t>(</w:t>
      </w:r>
      <w:proofErr w:type="spellStart"/>
      <w:proofErr w:type="gramStart"/>
      <w:r w:rsidRPr="00683FBA">
        <w:rPr>
          <w:bCs w:val="0"/>
          <w:sz w:val="24"/>
        </w:rPr>
        <w:t>i</w:t>
      </w:r>
      <w:proofErr w:type="spellEnd"/>
      <w:proofErr w:type="gramEnd"/>
      <w:r w:rsidRPr="00683FBA">
        <w:rPr>
          <w:bCs w:val="0"/>
          <w:sz w:val="24"/>
        </w:rPr>
        <w:t>)</w:t>
      </w:r>
      <w:r w:rsidRPr="00683FBA">
        <w:rPr>
          <w:bCs w:val="0"/>
          <w:sz w:val="24"/>
        </w:rPr>
        <w:tab/>
        <w:t>Scheduled Castes and Scheduled Tribes</w:t>
      </w:r>
    </w:p>
    <w:p w:rsidR="00822E85" w:rsidRPr="00683FBA" w:rsidRDefault="00822E85" w:rsidP="00822E85">
      <w:pPr>
        <w:pStyle w:val="BodyText"/>
        <w:spacing w:after="200"/>
        <w:ind w:left="720"/>
        <w:jc w:val="both"/>
        <w:rPr>
          <w:b w:val="0"/>
          <w:sz w:val="24"/>
        </w:rPr>
      </w:pPr>
      <w:r w:rsidRPr="00683FBA">
        <w:rPr>
          <w:b w:val="0"/>
          <w:sz w:val="24"/>
        </w:rPr>
        <w:t xml:space="preserve">Fifteen per cent seats are reserved for candidates belonging to Scheduled Castes and Seven and a half per cent seats are reserved for candidates belonging to Scheduled Tribes.  Any unfilled seats reserved for Scheduled Castes will be treated as reserved for Scheduled Tribes and vice-versa and will not be offered to any other reserved category.  In case sufficient number of eligible candidates of Scheduled Castes and Scheduled Tribes are not available, the seats thus remaining vacant will be treated as unreserved after the second </w:t>
      </w:r>
      <w:proofErr w:type="spellStart"/>
      <w:r w:rsidRPr="00683FBA">
        <w:rPr>
          <w:b w:val="0"/>
          <w:sz w:val="24"/>
        </w:rPr>
        <w:t>counselling</w:t>
      </w:r>
      <w:proofErr w:type="spellEnd"/>
      <w:r w:rsidRPr="00683FBA">
        <w:rPr>
          <w:b w:val="0"/>
          <w:sz w:val="24"/>
        </w:rPr>
        <w:t xml:space="preserve"> of the reserved categories is over.</w:t>
      </w:r>
    </w:p>
    <w:p w:rsidR="00822E85" w:rsidRPr="00683FBA" w:rsidRDefault="00822E85" w:rsidP="00822E85">
      <w:pPr>
        <w:pStyle w:val="BodyText"/>
        <w:spacing w:after="200"/>
        <w:jc w:val="both"/>
        <w:rPr>
          <w:bCs w:val="0"/>
          <w:sz w:val="24"/>
        </w:rPr>
      </w:pPr>
      <w:r w:rsidRPr="00683FBA">
        <w:rPr>
          <w:bCs w:val="0"/>
          <w:sz w:val="24"/>
        </w:rPr>
        <w:t>(ii)</w:t>
      </w:r>
      <w:r w:rsidRPr="00683FBA">
        <w:rPr>
          <w:bCs w:val="0"/>
          <w:sz w:val="24"/>
        </w:rPr>
        <w:tab/>
        <w:t xml:space="preserve">Reservation for </w:t>
      </w:r>
      <w:proofErr w:type="spellStart"/>
      <w:r w:rsidRPr="00683FBA">
        <w:rPr>
          <w:bCs w:val="0"/>
          <w:sz w:val="24"/>
        </w:rPr>
        <w:t>Defence</w:t>
      </w:r>
      <w:proofErr w:type="spellEnd"/>
      <w:r w:rsidRPr="00683FBA">
        <w:rPr>
          <w:bCs w:val="0"/>
          <w:sz w:val="24"/>
        </w:rPr>
        <w:t xml:space="preserve"> Category:</w:t>
      </w:r>
    </w:p>
    <w:p w:rsidR="00822E85" w:rsidRPr="00683FBA" w:rsidRDefault="00822E85" w:rsidP="00822E85">
      <w:pPr>
        <w:pStyle w:val="BodyText"/>
        <w:ind w:left="720"/>
        <w:jc w:val="both"/>
        <w:rPr>
          <w:b w:val="0"/>
          <w:sz w:val="24"/>
        </w:rPr>
      </w:pPr>
      <w:r w:rsidRPr="00683FBA">
        <w:rPr>
          <w:b w:val="0"/>
          <w:sz w:val="24"/>
        </w:rPr>
        <w:t xml:space="preserve">Five per cent of the seats are reserved for </w:t>
      </w:r>
      <w:proofErr w:type="spellStart"/>
      <w:r w:rsidRPr="00683FBA">
        <w:rPr>
          <w:b w:val="0"/>
          <w:sz w:val="24"/>
        </w:rPr>
        <w:t>Defence</w:t>
      </w:r>
      <w:proofErr w:type="spellEnd"/>
      <w:r w:rsidRPr="00683FBA">
        <w:rPr>
          <w:b w:val="0"/>
          <w:sz w:val="24"/>
        </w:rPr>
        <w:t xml:space="preserve"> Category in the following order of priority:-</w:t>
      </w:r>
    </w:p>
    <w:p w:rsidR="00822E85" w:rsidRPr="00683FBA" w:rsidRDefault="00822E85" w:rsidP="00F33F2F">
      <w:pPr>
        <w:pStyle w:val="BodyText"/>
        <w:numPr>
          <w:ilvl w:val="0"/>
          <w:numId w:val="1"/>
        </w:numPr>
        <w:spacing w:before="240"/>
        <w:jc w:val="both"/>
        <w:rPr>
          <w:b w:val="0"/>
          <w:sz w:val="24"/>
        </w:rPr>
      </w:pPr>
      <w:r w:rsidRPr="00683FBA">
        <w:rPr>
          <w:b w:val="0"/>
          <w:sz w:val="24"/>
        </w:rPr>
        <w:t xml:space="preserve">Widows/ Wards of </w:t>
      </w:r>
      <w:proofErr w:type="spellStart"/>
      <w:r w:rsidRPr="00683FBA">
        <w:rPr>
          <w:b w:val="0"/>
          <w:sz w:val="24"/>
        </w:rPr>
        <w:t>Defence</w:t>
      </w:r>
      <w:proofErr w:type="spellEnd"/>
      <w:r w:rsidRPr="00683FBA">
        <w:rPr>
          <w:b w:val="0"/>
          <w:sz w:val="24"/>
        </w:rPr>
        <w:t xml:space="preserve"> personnel killed in action.</w:t>
      </w:r>
    </w:p>
    <w:p w:rsidR="00822E85" w:rsidRPr="00683FBA" w:rsidRDefault="00822E85" w:rsidP="00F33F2F">
      <w:pPr>
        <w:pStyle w:val="BodyText"/>
        <w:numPr>
          <w:ilvl w:val="0"/>
          <w:numId w:val="1"/>
        </w:numPr>
        <w:jc w:val="both"/>
        <w:rPr>
          <w:b w:val="0"/>
          <w:sz w:val="24"/>
        </w:rPr>
      </w:pPr>
      <w:r w:rsidRPr="00683FBA">
        <w:rPr>
          <w:b w:val="0"/>
          <w:sz w:val="24"/>
        </w:rPr>
        <w:t xml:space="preserve">Wards of serving </w:t>
      </w:r>
      <w:proofErr w:type="spellStart"/>
      <w:r w:rsidRPr="00683FBA">
        <w:rPr>
          <w:b w:val="0"/>
          <w:sz w:val="24"/>
        </w:rPr>
        <w:t>Defence</w:t>
      </w:r>
      <w:proofErr w:type="spellEnd"/>
      <w:r w:rsidRPr="00683FBA">
        <w:rPr>
          <w:b w:val="0"/>
          <w:sz w:val="24"/>
        </w:rPr>
        <w:t xml:space="preserve"> personnel and ex-servicemen disabled in action.</w:t>
      </w:r>
    </w:p>
    <w:p w:rsidR="00822E85" w:rsidRPr="00683FBA" w:rsidRDefault="00822E85" w:rsidP="00F33F2F">
      <w:pPr>
        <w:pStyle w:val="BodyText"/>
        <w:numPr>
          <w:ilvl w:val="0"/>
          <w:numId w:val="1"/>
        </w:numPr>
        <w:jc w:val="both"/>
        <w:rPr>
          <w:b w:val="0"/>
          <w:sz w:val="24"/>
        </w:rPr>
      </w:pPr>
      <w:r w:rsidRPr="00683FBA">
        <w:rPr>
          <w:b w:val="0"/>
          <w:sz w:val="24"/>
        </w:rPr>
        <w:t xml:space="preserve">Widows/ wards of </w:t>
      </w:r>
      <w:proofErr w:type="spellStart"/>
      <w:r w:rsidRPr="00683FBA">
        <w:rPr>
          <w:b w:val="0"/>
          <w:sz w:val="24"/>
        </w:rPr>
        <w:t>Defence</w:t>
      </w:r>
      <w:proofErr w:type="spellEnd"/>
      <w:r w:rsidRPr="00683FBA">
        <w:rPr>
          <w:b w:val="0"/>
          <w:sz w:val="24"/>
        </w:rPr>
        <w:t xml:space="preserve"> personnel who died in peace-time with death attributable to military service.</w:t>
      </w:r>
    </w:p>
    <w:p w:rsidR="00822E85" w:rsidRPr="00683FBA" w:rsidRDefault="00822E85" w:rsidP="00F33F2F">
      <w:pPr>
        <w:pStyle w:val="BodyText"/>
        <w:numPr>
          <w:ilvl w:val="0"/>
          <w:numId w:val="1"/>
        </w:numPr>
        <w:jc w:val="both"/>
        <w:rPr>
          <w:b w:val="0"/>
          <w:sz w:val="24"/>
        </w:rPr>
      </w:pPr>
      <w:r w:rsidRPr="00683FBA">
        <w:rPr>
          <w:b w:val="0"/>
          <w:sz w:val="24"/>
        </w:rPr>
        <w:t xml:space="preserve">Wards of </w:t>
      </w:r>
      <w:proofErr w:type="spellStart"/>
      <w:r w:rsidRPr="00683FBA">
        <w:rPr>
          <w:b w:val="0"/>
          <w:sz w:val="24"/>
        </w:rPr>
        <w:t>Defence</w:t>
      </w:r>
      <w:proofErr w:type="spellEnd"/>
      <w:r w:rsidRPr="00683FBA">
        <w:rPr>
          <w:b w:val="0"/>
          <w:sz w:val="24"/>
        </w:rPr>
        <w:t xml:space="preserve"> Personnel disabled in peace-time with disability attributable to military service.</w:t>
      </w:r>
    </w:p>
    <w:p w:rsidR="00822E85" w:rsidRPr="00683FBA" w:rsidRDefault="00822E85" w:rsidP="00F33F2F">
      <w:pPr>
        <w:pStyle w:val="BodyText"/>
        <w:numPr>
          <w:ilvl w:val="0"/>
          <w:numId w:val="1"/>
        </w:numPr>
        <w:jc w:val="both"/>
        <w:rPr>
          <w:b w:val="0"/>
          <w:sz w:val="24"/>
        </w:rPr>
      </w:pPr>
      <w:r w:rsidRPr="00683FBA">
        <w:rPr>
          <w:b w:val="0"/>
          <w:sz w:val="24"/>
        </w:rPr>
        <w:t xml:space="preserve">Wards of </w:t>
      </w:r>
      <w:proofErr w:type="spellStart"/>
      <w:r w:rsidRPr="00683FBA">
        <w:rPr>
          <w:b w:val="0"/>
          <w:sz w:val="24"/>
        </w:rPr>
        <w:t>Defence</w:t>
      </w:r>
      <w:proofErr w:type="spellEnd"/>
      <w:r w:rsidRPr="00683FBA">
        <w:rPr>
          <w:b w:val="0"/>
          <w:sz w:val="24"/>
        </w:rPr>
        <w:t xml:space="preserve"> ex-servicemen and serving personnel who are in receipt of Gallantry Award.</w:t>
      </w:r>
    </w:p>
    <w:p w:rsidR="00822E85" w:rsidRPr="00683FBA" w:rsidRDefault="00822E85" w:rsidP="00F33F2F">
      <w:pPr>
        <w:pStyle w:val="BodyText"/>
        <w:numPr>
          <w:ilvl w:val="0"/>
          <w:numId w:val="1"/>
        </w:numPr>
        <w:jc w:val="both"/>
        <w:rPr>
          <w:b w:val="0"/>
          <w:sz w:val="24"/>
        </w:rPr>
      </w:pPr>
      <w:r w:rsidRPr="00683FBA">
        <w:rPr>
          <w:b w:val="0"/>
          <w:sz w:val="24"/>
        </w:rPr>
        <w:t xml:space="preserve">Wards of </w:t>
      </w:r>
      <w:proofErr w:type="spellStart"/>
      <w:r w:rsidRPr="00683FBA">
        <w:rPr>
          <w:b w:val="0"/>
          <w:sz w:val="24"/>
        </w:rPr>
        <w:t>Defence</w:t>
      </w:r>
      <w:proofErr w:type="spellEnd"/>
      <w:r w:rsidRPr="00683FBA">
        <w:rPr>
          <w:b w:val="0"/>
          <w:sz w:val="24"/>
        </w:rPr>
        <w:t xml:space="preserve"> ex-servicemen.</w:t>
      </w:r>
    </w:p>
    <w:p w:rsidR="00822E85" w:rsidRPr="00683FBA" w:rsidRDefault="00822E85" w:rsidP="00F33F2F">
      <w:pPr>
        <w:pStyle w:val="BodyText"/>
        <w:numPr>
          <w:ilvl w:val="0"/>
          <w:numId w:val="1"/>
        </w:numPr>
        <w:spacing w:after="200"/>
        <w:jc w:val="both"/>
        <w:rPr>
          <w:b w:val="0"/>
          <w:sz w:val="24"/>
        </w:rPr>
      </w:pPr>
      <w:r w:rsidRPr="00683FBA">
        <w:rPr>
          <w:b w:val="0"/>
          <w:sz w:val="24"/>
        </w:rPr>
        <w:t xml:space="preserve">Wards of serving </w:t>
      </w:r>
      <w:proofErr w:type="spellStart"/>
      <w:r w:rsidRPr="00683FBA">
        <w:rPr>
          <w:b w:val="0"/>
          <w:sz w:val="24"/>
        </w:rPr>
        <w:t>Defence</w:t>
      </w:r>
      <w:proofErr w:type="spellEnd"/>
      <w:r w:rsidRPr="00683FBA">
        <w:rPr>
          <w:b w:val="0"/>
          <w:sz w:val="24"/>
        </w:rPr>
        <w:t xml:space="preserve"> personnel.</w:t>
      </w:r>
    </w:p>
    <w:p w:rsidR="00822E85" w:rsidRPr="00683FBA" w:rsidRDefault="00822E85" w:rsidP="00822E85">
      <w:pPr>
        <w:spacing w:line="240" w:lineRule="auto"/>
        <w:rPr>
          <w:rFonts w:ascii="Times New Roman" w:hAnsi="Times New Roman" w:cs="Times New Roman"/>
          <w:b/>
          <w:bCs/>
          <w:sz w:val="24"/>
          <w:szCs w:val="24"/>
        </w:rPr>
      </w:pPr>
      <w:r w:rsidRPr="00683FBA">
        <w:rPr>
          <w:rFonts w:ascii="Times New Roman" w:hAnsi="Times New Roman" w:cs="Times New Roman"/>
          <w:b/>
          <w:bCs/>
          <w:sz w:val="24"/>
          <w:szCs w:val="24"/>
        </w:rPr>
        <w:t>(iii)</w:t>
      </w:r>
      <w:r w:rsidRPr="00683FBA">
        <w:rPr>
          <w:rFonts w:ascii="Times New Roman" w:hAnsi="Times New Roman" w:cs="Times New Roman"/>
          <w:b/>
          <w:bCs/>
          <w:sz w:val="24"/>
          <w:szCs w:val="24"/>
        </w:rPr>
        <w:tab/>
        <w:t>Physically Handicapped</w:t>
      </w:r>
    </w:p>
    <w:p w:rsidR="00822E85" w:rsidRDefault="00822E85" w:rsidP="00822E85">
      <w:pPr>
        <w:pStyle w:val="BodyText2"/>
        <w:spacing w:after="0" w:line="240" w:lineRule="auto"/>
        <w:ind w:left="720"/>
        <w:jc w:val="both"/>
        <w:rPr>
          <w:rFonts w:ascii="Times New Roman" w:hAnsi="Times New Roman" w:cs="Times New Roman"/>
          <w:bCs/>
          <w:sz w:val="24"/>
          <w:szCs w:val="24"/>
        </w:rPr>
      </w:pPr>
      <w:r w:rsidRPr="00683FBA">
        <w:rPr>
          <w:rFonts w:ascii="Times New Roman" w:hAnsi="Times New Roman" w:cs="Times New Roman"/>
          <w:bCs/>
          <w:sz w:val="24"/>
          <w:szCs w:val="24"/>
        </w:rPr>
        <w:lastRenderedPageBreak/>
        <w:t>Three per cent of seats in each programme are reserved for Physically Handicapped candidates.</w:t>
      </w:r>
    </w:p>
    <w:p w:rsidR="00822E85" w:rsidRPr="00683FBA" w:rsidRDefault="00822E85" w:rsidP="00822E85">
      <w:pPr>
        <w:pStyle w:val="BodyText2"/>
        <w:spacing w:after="0" w:line="240" w:lineRule="auto"/>
        <w:ind w:left="720"/>
        <w:jc w:val="both"/>
        <w:rPr>
          <w:rFonts w:ascii="Times New Roman" w:hAnsi="Times New Roman" w:cs="Times New Roman"/>
          <w:b/>
          <w:bCs/>
          <w:sz w:val="24"/>
          <w:szCs w:val="24"/>
        </w:rPr>
      </w:pPr>
    </w:p>
    <w:p w:rsidR="00822E85" w:rsidRDefault="00822E85" w:rsidP="00822E85">
      <w:pPr>
        <w:pStyle w:val="BodyText2"/>
        <w:spacing w:after="0" w:line="240" w:lineRule="auto"/>
        <w:jc w:val="both"/>
        <w:rPr>
          <w:rFonts w:ascii="Times New Roman" w:hAnsi="Times New Roman" w:cs="Times New Roman"/>
          <w:b/>
          <w:sz w:val="24"/>
          <w:szCs w:val="24"/>
        </w:rPr>
      </w:pPr>
      <w:proofErr w:type="gramStart"/>
      <w:r w:rsidRPr="00683FBA">
        <w:rPr>
          <w:rFonts w:ascii="Times New Roman" w:hAnsi="Times New Roman" w:cs="Times New Roman"/>
          <w:b/>
          <w:sz w:val="24"/>
          <w:szCs w:val="24"/>
        </w:rPr>
        <w:t>(iv)</w:t>
      </w:r>
      <w:r w:rsidRPr="00683FBA">
        <w:rPr>
          <w:rFonts w:ascii="Times New Roman" w:hAnsi="Times New Roman" w:cs="Times New Roman"/>
          <w:b/>
          <w:sz w:val="24"/>
          <w:szCs w:val="24"/>
        </w:rPr>
        <w:tab/>
        <w:t>Supernumerary</w:t>
      </w:r>
      <w:proofErr w:type="gramEnd"/>
      <w:r w:rsidRPr="00683FBA">
        <w:rPr>
          <w:rFonts w:ascii="Times New Roman" w:hAnsi="Times New Roman" w:cs="Times New Roman"/>
          <w:b/>
          <w:sz w:val="24"/>
          <w:szCs w:val="24"/>
        </w:rPr>
        <w:t xml:space="preserve"> Seats for Kashmiri Migrants</w:t>
      </w:r>
    </w:p>
    <w:p w:rsidR="00822E85" w:rsidRPr="00683FBA" w:rsidRDefault="00822E85" w:rsidP="00822E85">
      <w:pPr>
        <w:pStyle w:val="BodyText2"/>
        <w:spacing w:after="0" w:line="240" w:lineRule="auto"/>
        <w:jc w:val="both"/>
        <w:rPr>
          <w:rFonts w:ascii="Times New Roman" w:hAnsi="Times New Roman" w:cs="Times New Roman"/>
          <w:b/>
          <w:sz w:val="24"/>
          <w:szCs w:val="24"/>
        </w:rPr>
      </w:pPr>
    </w:p>
    <w:p w:rsidR="00822E85" w:rsidRPr="00683FBA" w:rsidRDefault="00822E85" w:rsidP="00822E85">
      <w:pPr>
        <w:pStyle w:val="BodyText2"/>
        <w:spacing w:after="200" w:line="240" w:lineRule="auto"/>
        <w:ind w:left="720"/>
        <w:jc w:val="both"/>
        <w:rPr>
          <w:rFonts w:ascii="Times New Roman" w:hAnsi="Times New Roman" w:cs="Times New Roman"/>
          <w:b/>
          <w:bCs/>
          <w:sz w:val="24"/>
          <w:szCs w:val="24"/>
        </w:rPr>
      </w:pPr>
      <w:r w:rsidRPr="00683FBA">
        <w:rPr>
          <w:rFonts w:ascii="Times New Roman" w:hAnsi="Times New Roman" w:cs="Times New Roman"/>
          <w:bCs/>
          <w:sz w:val="24"/>
          <w:szCs w:val="24"/>
        </w:rPr>
        <w:t xml:space="preserve">One seat, which will be supernumerary in </w:t>
      </w:r>
      <w:proofErr w:type="gramStart"/>
      <w:r w:rsidRPr="00683FBA">
        <w:rPr>
          <w:rFonts w:ascii="Times New Roman" w:hAnsi="Times New Roman" w:cs="Times New Roman"/>
          <w:bCs/>
          <w:sz w:val="24"/>
          <w:szCs w:val="24"/>
        </w:rPr>
        <w:t>nature</w:t>
      </w:r>
      <w:proofErr w:type="gramEnd"/>
      <w:r w:rsidRPr="00683FBA">
        <w:rPr>
          <w:rFonts w:ascii="Times New Roman" w:hAnsi="Times New Roman" w:cs="Times New Roman"/>
          <w:bCs/>
          <w:sz w:val="24"/>
          <w:szCs w:val="24"/>
        </w:rPr>
        <w:t xml:space="preserve"> is earmarked for Kashmiri migrants in each Institution.</w:t>
      </w:r>
    </w:p>
    <w:p w:rsidR="00822E85" w:rsidRPr="00683FBA" w:rsidRDefault="00822E85" w:rsidP="00822E85">
      <w:pPr>
        <w:pStyle w:val="BodyText2"/>
        <w:spacing w:after="200" w:line="240" w:lineRule="auto"/>
        <w:ind w:left="720" w:hanging="720"/>
        <w:jc w:val="both"/>
        <w:rPr>
          <w:rFonts w:ascii="Times New Roman" w:hAnsi="Times New Roman" w:cs="Times New Roman"/>
          <w:b/>
          <w:bCs/>
          <w:sz w:val="24"/>
          <w:szCs w:val="24"/>
        </w:rPr>
      </w:pPr>
      <w:r w:rsidRPr="00683FBA">
        <w:rPr>
          <w:rFonts w:ascii="Times New Roman" w:hAnsi="Times New Roman" w:cs="Times New Roman"/>
          <w:bCs/>
          <w:sz w:val="24"/>
          <w:szCs w:val="24"/>
        </w:rPr>
        <w:t>2.</w:t>
      </w:r>
      <w:r w:rsidRPr="00683FBA">
        <w:rPr>
          <w:rFonts w:ascii="Times New Roman" w:hAnsi="Times New Roman" w:cs="Times New Roman"/>
          <w:bCs/>
          <w:sz w:val="24"/>
          <w:szCs w:val="24"/>
        </w:rPr>
        <w:tab/>
        <w:t>The procedure for filling up of the reserved category seats would be the same as notified by the University in the Admission Brochures from time to time.</w:t>
      </w:r>
    </w:p>
    <w:p w:rsidR="00822E85" w:rsidRPr="00683FBA" w:rsidRDefault="00822E85" w:rsidP="00822E85">
      <w:pPr>
        <w:pStyle w:val="BodyText2"/>
        <w:spacing w:after="200" w:line="240" w:lineRule="auto"/>
        <w:ind w:left="709" w:hanging="709"/>
        <w:jc w:val="both"/>
        <w:rPr>
          <w:rFonts w:ascii="Times New Roman" w:hAnsi="Times New Roman" w:cs="Times New Roman"/>
          <w:b/>
          <w:bCs/>
          <w:sz w:val="24"/>
          <w:szCs w:val="24"/>
        </w:rPr>
      </w:pPr>
      <w:r w:rsidRPr="00683FBA">
        <w:rPr>
          <w:rFonts w:ascii="Times New Roman" w:hAnsi="Times New Roman" w:cs="Times New Roman"/>
          <w:bCs/>
          <w:sz w:val="24"/>
          <w:szCs w:val="24"/>
        </w:rPr>
        <w:t>3.</w:t>
      </w:r>
      <w:r w:rsidRPr="00683FBA">
        <w:rPr>
          <w:rFonts w:ascii="Times New Roman" w:hAnsi="Times New Roman" w:cs="Times New Roman"/>
          <w:bCs/>
          <w:sz w:val="24"/>
          <w:szCs w:val="24"/>
        </w:rPr>
        <w:tab/>
        <w:t>This Ordinance would be applicable on the self-financing private institutions other than the minority institutions referred to in Clause (1) of Article 30 of Constitution of India.</w:t>
      </w:r>
    </w:p>
    <w:p w:rsidR="00822E85" w:rsidRPr="00683FBA" w:rsidRDefault="00822E85" w:rsidP="00822E85">
      <w:pPr>
        <w:pStyle w:val="BodyText2"/>
        <w:spacing w:after="200" w:line="240" w:lineRule="auto"/>
        <w:ind w:left="720" w:hanging="720"/>
        <w:jc w:val="both"/>
        <w:rPr>
          <w:rFonts w:ascii="Times New Roman" w:hAnsi="Times New Roman" w:cs="Times New Roman"/>
          <w:b/>
          <w:bCs/>
          <w:sz w:val="24"/>
          <w:szCs w:val="24"/>
        </w:rPr>
      </w:pPr>
      <w:r w:rsidRPr="00683FBA">
        <w:rPr>
          <w:rFonts w:ascii="Times New Roman" w:hAnsi="Times New Roman" w:cs="Times New Roman"/>
          <w:bCs/>
          <w:sz w:val="24"/>
          <w:szCs w:val="24"/>
        </w:rPr>
        <w:t>4.</w:t>
      </w:r>
      <w:r w:rsidRPr="00683FBA">
        <w:rPr>
          <w:rFonts w:ascii="Times New Roman" w:hAnsi="Times New Roman" w:cs="Times New Roman"/>
          <w:bCs/>
          <w:sz w:val="24"/>
          <w:szCs w:val="24"/>
        </w:rPr>
        <w:tab/>
        <w:t>For reservations in the Government Institutions, the policy of the Government of the NCT of Delhi already in vogue will continue to apply.</w:t>
      </w:r>
    </w:p>
    <w:p w:rsidR="00822E85" w:rsidRPr="00683FBA" w:rsidRDefault="00822E85" w:rsidP="00822E85">
      <w:pPr>
        <w:pStyle w:val="BodyText2"/>
        <w:spacing w:after="200" w:line="240" w:lineRule="auto"/>
        <w:jc w:val="both"/>
        <w:rPr>
          <w:rFonts w:ascii="Times New Roman" w:hAnsi="Times New Roman" w:cs="Times New Roman"/>
          <w:b/>
          <w:bCs/>
          <w:sz w:val="24"/>
          <w:szCs w:val="24"/>
        </w:rPr>
      </w:pPr>
      <w:r w:rsidRPr="00683FBA">
        <w:rPr>
          <w:rFonts w:ascii="Times New Roman" w:hAnsi="Times New Roman" w:cs="Times New Roman"/>
          <w:bCs/>
          <w:sz w:val="24"/>
          <w:szCs w:val="24"/>
        </w:rPr>
        <w:t>5.</w:t>
      </w:r>
      <w:r w:rsidRPr="00683FBA">
        <w:rPr>
          <w:rFonts w:ascii="Times New Roman" w:hAnsi="Times New Roman" w:cs="Times New Roman"/>
          <w:bCs/>
          <w:sz w:val="24"/>
          <w:szCs w:val="24"/>
        </w:rPr>
        <w:tab/>
        <w:t>This issues with the approval of the Competent Authority.</w:t>
      </w:r>
    </w:p>
    <w:p w:rsidR="00822E85" w:rsidRPr="00683FBA" w:rsidRDefault="00822E85" w:rsidP="00822E85">
      <w:pPr>
        <w:pStyle w:val="BodyTextIndent2"/>
        <w:spacing w:after="200"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6.</w:t>
      </w:r>
      <w:r w:rsidRPr="00683FBA">
        <w:rPr>
          <w:rFonts w:ascii="Times New Roman" w:hAnsi="Times New Roman" w:cs="Times New Roman"/>
          <w:sz w:val="24"/>
          <w:szCs w:val="24"/>
        </w:rPr>
        <w:tab/>
        <w:t>This ordinance has come into force with effect from the date of approval by the Board of Management.</w:t>
      </w:r>
    </w:p>
    <w:p w:rsidR="00822E85" w:rsidRPr="00683FBA" w:rsidRDefault="00822E85" w:rsidP="00822E85">
      <w:pPr>
        <w:pStyle w:val="BodyText2"/>
        <w:spacing w:after="0" w:line="240" w:lineRule="auto"/>
        <w:ind w:left="6480" w:firstLine="720"/>
        <w:rPr>
          <w:rFonts w:ascii="Times New Roman" w:hAnsi="Times New Roman" w:cs="Times New Roman"/>
          <w:sz w:val="24"/>
          <w:szCs w:val="24"/>
        </w:rPr>
      </w:pPr>
    </w:p>
    <w:p w:rsidR="00822E85" w:rsidRPr="00683FBA" w:rsidRDefault="00822E85" w:rsidP="00822E85">
      <w:pPr>
        <w:pStyle w:val="BodyText2"/>
        <w:spacing w:after="0" w:line="240" w:lineRule="auto"/>
        <w:rPr>
          <w:rFonts w:ascii="Times New Roman" w:hAnsi="Times New Roman" w:cs="Times New Roman"/>
          <w:b/>
          <w:sz w:val="24"/>
          <w:szCs w:val="24"/>
        </w:rPr>
      </w:pPr>
    </w:p>
    <w:p w:rsidR="00822E85" w:rsidRPr="00683FBA" w:rsidRDefault="00822E85" w:rsidP="00822E85">
      <w:pPr>
        <w:pStyle w:val="BodyText2"/>
        <w:spacing w:after="0" w:line="240" w:lineRule="auto"/>
        <w:ind w:left="709"/>
        <w:rPr>
          <w:rFonts w:ascii="Times New Roman" w:hAnsi="Times New Roman" w:cs="Times New Roman"/>
          <w:b/>
          <w:bCs/>
          <w:sz w:val="24"/>
          <w:szCs w:val="24"/>
        </w:rPr>
      </w:pPr>
      <w:r w:rsidRPr="00683FBA">
        <w:rPr>
          <w:rFonts w:ascii="Times New Roman" w:hAnsi="Times New Roman" w:cs="Times New Roman"/>
          <w:b/>
          <w:sz w:val="24"/>
          <w:szCs w:val="24"/>
        </w:rPr>
        <w:t xml:space="preserve">BOM </w:t>
      </w:r>
      <w:proofErr w:type="gramStart"/>
      <w:r w:rsidRPr="00683FBA">
        <w:rPr>
          <w:rFonts w:ascii="Times New Roman" w:hAnsi="Times New Roman" w:cs="Times New Roman"/>
          <w:b/>
          <w:sz w:val="24"/>
          <w:szCs w:val="24"/>
        </w:rPr>
        <w:t>Resolution :</w:t>
      </w:r>
      <w:proofErr w:type="gramEnd"/>
      <w:r w:rsidRPr="00683FBA">
        <w:rPr>
          <w:rFonts w:ascii="Times New Roman" w:hAnsi="Times New Roman" w:cs="Times New Roman"/>
          <w:b/>
          <w:sz w:val="24"/>
          <w:szCs w:val="24"/>
        </w:rPr>
        <w:t xml:space="preserve"> 31.5  dated 25.8.2006</w:t>
      </w:r>
      <w:r w:rsidRPr="00683FBA">
        <w:rPr>
          <w:rFonts w:ascii="Times New Roman" w:hAnsi="Times New Roman" w:cs="Times New Roman"/>
          <w:b/>
          <w:sz w:val="24"/>
          <w:szCs w:val="24"/>
        </w:rPr>
        <w:tab/>
      </w:r>
      <w:r w:rsidRPr="00683FBA">
        <w:rPr>
          <w:rFonts w:ascii="Times New Roman" w:hAnsi="Times New Roman" w:cs="Times New Roman"/>
          <w:b/>
          <w:bCs/>
          <w:sz w:val="24"/>
          <w:szCs w:val="24"/>
        </w:rPr>
        <w:t xml:space="preserve"> </w:t>
      </w:r>
    </w:p>
    <w:p w:rsidR="00822E85" w:rsidRPr="00683FBA" w:rsidRDefault="00822E85" w:rsidP="00822E85">
      <w:pPr>
        <w:pStyle w:val="PlainText"/>
        <w:ind w:left="709" w:right="954"/>
        <w:rPr>
          <w:rFonts w:ascii="Times New Roman" w:hAnsi="Times New Roman"/>
          <w:b/>
          <w:bCs/>
          <w:sz w:val="24"/>
          <w:szCs w:val="24"/>
        </w:rPr>
      </w:pPr>
      <w:r w:rsidRPr="00683FBA">
        <w:rPr>
          <w:rFonts w:ascii="Times New Roman" w:hAnsi="Times New Roman"/>
          <w:b/>
          <w:bCs/>
          <w:sz w:val="24"/>
          <w:szCs w:val="24"/>
        </w:rPr>
        <w:t xml:space="preserve">Gazette Notification </w:t>
      </w:r>
      <w:proofErr w:type="gramStart"/>
      <w:r w:rsidRPr="00683FBA">
        <w:rPr>
          <w:rFonts w:ascii="Times New Roman" w:hAnsi="Times New Roman"/>
          <w:b/>
          <w:bCs/>
          <w:sz w:val="24"/>
          <w:szCs w:val="24"/>
        </w:rPr>
        <w:t>No.F2(</w:t>
      </w:r>
      <w:proofErr w:type="gramEnd"/>
      <w:r w:rsidRPr="00683FBA">
        <w:rPr>
          <w:rFonts w:ascii="Times New Roman" w:hAnsi="Times New Roman"/>
          <w:b/>
          <w:bCs/>
          <w:sz w:val="24"/>
          <w:szCs w:val="24"/>
        </w:rPr>
        <w:t>32)/</w:t>
      </w:r>
      <w:proofErr w:type="spellStart"/>
      <w:r w:rsidRPr="00683FBA">
        <w:rPr>
          <w:rFonts w:ascii="Times New Roman" w:hAnsi="Times New Roman"/>
          <w:b/>
          <w:bCs/>
          <w:sz w:val="24"/>
          <w:szCs w:val="24"/>
        </w:rPr>
        <w:t>Ord</w:t>
      </w:r>
      <w:proofErr w:type="spellEnd"/>
      <w:r w:rsidRPr="00683FBA">
        <w:rPr>
          <w:rFonts w:ascii="Times New Roman" w:hAnsi="Times New Roman"/>
          <w:b/>
          <w:bCs/>
          <w:sz w:val="24"/>
          <w:szCs w:val="24"/>
        </w:rPr>
        <w:t>/IPU/DRP/2006/4214 dated 12.02.2007</w:t>
      </w:r>
    </w:p>
    <w:p w:rsidR="00822E85" w:rsidRPr="00683FBA" w:rsidRDefault="00822E85" w:rsidP="00822E85">
      <w:pPr>
        <w:spacing w:line="360" w:lineRule="auto"/>
        <w:rPr>
          <w:rFonts w:ascii="Times New Roman" w:hAnsi="Times New Roman" w:cs="Times New Roman"/>
          <w:sz w:val="24"/>
          <w:szCs w:val="24"/>
        </w:rPr>
      </w:pPr>
    </w:p>
    <w:p w:rsidR="00822E85" w:rsidRPr="00683FBA" w:rsidRDefault="00822E85" w:rsidP="00822E85">
      <w:pPr>
        <w:rPr>
          <w:rFonts w:ascii="Times New Roman" w:eastAsia="Times New Roman" w:hAnsi="Times New Roman" w:cs="Times New Roman"/>
          <w:b/>
          <w:sz w:val="24"/>
          <w:szCs w:val="24"/>
          <w:u w:val="single"/>
          <w:lang w:val="en-US" w:eastAsia="en-US"/>
        </w:rPr>
      </w:pPr>
    </w:p>
    <w:sectPr w:rsidR="00822E85" w:rsidRPr="00683FBA"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E1D40"/>
    <w:multiLevelType w:val="hybridMultilevel"/>
    <w:tmpl w:val="A7249118"/>
    <w:lvl w:ilvl="0" w:tplc="F4E0D32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22E85"/>
    <w:rsid w:val="000411FB"/>
    <w:rsid w:val="000F2B59"/>
    <w:rsid w:val="001311C2"/>
    <w:rsid w:val="001D7A0F"/>
    <w:rsid w:val="00225019"/>
    <w:rsid w:val="00267E04"/>
    <w:rsid w:val="00321D9D"/>
    <w:rsid w:val="00345781"/>
    <w:rsid w:val="003A6EA6"/>
    <w:rsid w:val="004701AA"/>
    <w:rsid w:val="00511CB8"/>
    <w:rsid w:val="005C7D32"/>
    <w:rsid w:val="00822E85"/>
    <w:rsid w:val="009639E5"/>
    <w:rsid w:val="00B45F0D"/>
    <w:rsid w:val="00C707EC"/>
    <w:rsid w:val="00CF72DE"/>
    <w:rsid w:val="00D4608B"/>
    <w:rsid w:val="00D76E4D"/>
    <w:rsid w:val="00D90E68"/>
    <w:rsid w:val="00E43C43"/>
    <w:rsid w:val="00F33F2F"/>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85"/>
    <w:rPr>
      <w:rFonts w:eastAsiaTheme="minorEastAsia"/>
      <w:lang w:val="en-IN" w:eastAsia="en-IN"/>
    </w:rPr>
  </w:style>
  <w:style w:type="paragraph" w:styleId="Heading1">
    <w:name w:val="heading 1"/>
    <w:basedOn w:val="Normal"/>
    <w:next w:val="Normal"/>
    <w:link w:val="Heading1Char"/>
    <w:uiPriority w:val="9"/>
    <w:qFormat/>
    <w:rsid w:val="00822E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22E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22E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22E8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22E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822E85"/>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822E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22E8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22E8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E85"/>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822E85"/>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822E85"/>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822E85"/>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822E85"/>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822E85"/>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822E8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822E85"/>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822E85"/>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822E85"/>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822E85"/>
    <w:rPr>
      <w:rFonts w:ascii="Courier New" w:eastAsia="Times New Roman" w:hAnsi="Courier New" w:cs="Times New Roman"/>
      <w:sz w:val="20"/>
      <w:szCs w:val="20"/>
    </w:rPr>
  </w:style>
  <w:style w:type="paragraph" w:styleId="Header">
    <w:name w:val="header"/>
    <w:basedOn w:val="Normal"/>
    <w:link w:val="HeaderChar"/>
    <w:uiPriority w:val="99"/>
    <w:unhideWhenUsed/>
    <w:rsid w:val="00822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E85"/>
    <w:rPr>
      <w:rFonts w:eastAsiaTheme="minorEastAsia"/>
      <w:lang w:val="en-IN" w:eastAsia="en-IN"/>
    </w:rPr>
  </w:style>
  <w:style w:type="paragraph" w:styleId="Footer">
    <w:name w:val="footer"/>
    <w:basedOn w:val="Normal"/>
    <w:link w:val="FooterChar"/>
    <w:unhideWhenUsed/>
    <w:rsid w:val="00822E85"/>
    <w:pPr>
      <w:tabs>
        <w:tab w:val="center" w:pos="4513"/>
        <w:tab w:val="right" w:pos="9026"/>
      </w:tabs>
      <w:spacing w:after="0" w:line="240" w:lineRule="auto"/>
    </w:pPr>
  </w:style>
  <w:style w:type="character" w:customStyle="1" w:styleId="FooterChar">
    <w:name w:val="Footer Char"/>
    <w:basedOn w:val="DefaultParagraphFont"/>
    <w:link w:val="Footer"/>
    <w:rsid w:val="00822E85"/>
    <w:rPr>
      <w:rFonts w:eastAsiaTheme="minorEastAsia"/>
      <w:lang w:val="en-IN" w:eastAsia="en-IN"/>
    </w:rPr>
  </w:style>
  <w:style w:type="paragraph" w:styleId="BodyText">
    <w:name w:val="Body Text"/>
    <w:basedOn w:val="Normal"/>
    <w:link w:val="BodyTextChar"/>
    <w:rsid w:val="00822E85"/>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822E85"/>
    <w:rPr>
      <w:rFonts w:ascii="Times New Roman" w:eastAsia="Times New Roman" w:hAnsi="Times New Roman" w:cs="Times New Roman"/>
      <w:b/>
      <w:bCs/>
      <w:sz w:val="40"/>
      <w:szCs w:val="24"/>
    </w:rPr>
  </w:style>
  <w:style w:type="paragraph" w:styleId="BodyTextIndent">
    <w:name w:val="Body Text Indent"/>
    <w:basedOn w:val="Normal"/>
    <w:link w:val="BodyTextIndentChar"/>
    <w:rsid w:val="00822E85"/>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822E85"/>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822E85"/>
    <w:pPr>
      <w:spacing w:after="120" w:line="480" w:lineRule="auto"/>
      <w:ind w:left="283"/>
    </w:pPr>
  </w:style>
  <w:style w:type="character" w:customStyle="1" w:styleId="BodyTextIndent2Char">
    <w:name w:val="Body Text Indent 2 Char"/>
    <w:basedOn w:val="DefaultParagraphFont"/>
    <w:link w:val="BodyTextIndent2"/>
    <w:rsid w:val="00822E85"/>
    <w:rPr>
      <w:rFonts w:eastAsiaTheme="minorEastAsia"/>
      <w:lang w:val="en-IN" w:eastAsia="en-IN"/>
    </w:rPr>
  </w:style>
  <w:style w:type="paragraph" w:styleId="BodyTextIndent3">
    <w:name w:val="Body Text Indent 3"/>
    <w:basedOn w:val="Normal"/>
    <w:link w:val="BodyTextIndent3Char"/>
    <w:unhideWhenUsed/>
    <w:rsid w:val="00822E85"/>
    <w:pPr>
      <w:spacing w:after="120"/>
      <w:ind w:left="283"/>
    </w:pPr>
    <w:rPr>
      <w:sz w:val="16"/>
      <w:szCs w:val="16"/>
    </w:rPr>
  </w:style>
  <w:style w:type="character" w:customStyle="1" w:styleId="BodyTextIndent3Char">
    <w:name w:val="Body Text Indent 3 Char"/>
    <w:basedOn w:val="DefaultParagraphFont"/>
    <w:link w:val="BodyTextIndent3"/>
    <w:rsid w:val="00822E85"/>
    <w:rPr>
      <w:rFonts w:eastAsiaTheme="minorEastAsia"/>
      <w:sz w:val="16"/>
      <w:szCs w:val="16"/>
      <w:lang w:val="en-IN" w:eastAsia="en-IN"/>
    </w:rPr>
  </w:style>
  <w:style w:type="paragraph" w:styleId="BodyText2">
    <w:name w:val="Body Text 2"/>
    <w:basedOn w:val="Normal"/>
    <w:link w:val="BodyText2Char"/>
    <w:unhideWhenUsed/>
    <w:rsid w:val="00822E85"/>
    <w:pPr>
      <w:spacing w:after="120" w:line="480" w:lineRule="auto"/>
    </w:pPr>
  </w:style>
  <w:style w:type="character" w:customStyle="1" w:styleId="BodyText2Char">
    <w:name w:val="Body Text 2 Char"/>
    <w:basedOn w:val="DefaultParagraphFont"/>
    <w:link w:val="BodyText2"/>
    <w:rsid w:val="00822E85"/>
    <w:rPr>
      <w:rFonts w:eastAsiaTheme="minorEastAsia"/>
      <w:lang w:val="en-IN" w:eastAsia="en-IN"/>
    </w:rPr>
  </w:style>
  <w:style w:type="paragraph" w:styleId="ListParagraph">
    <w:name w:val="List Paragraph"/>
    <w:basedOn w:val="Normal"/>
    <w:uiPriority w:val="34"/>
    <w:qFormat/>
    <w:rsid w:val="00822E85"/>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822E85"/>
    <w:pPr>
      <w:spacing w:after="120"/>
    </w:pPr>
    <w:rPr>
      <w:sz w:val="16"/>
      <w:szCs w:val="16"/>
    </w:rPr>
  </w:style>
  <w:style w:type="character" w:customStyle="1" w:styleId="BodyText3Char">
    <w:name w:val="Body Text 3 Char"/>
    <w:basedOn w:val="DefaultParagraphFont"/>
    <w:link w:val="BodyText3"/>
    <w:rsid w:val="00822E85"/>
    <w:rPr>
      <w:rFonts w:eastAsiaTheme="minorEastAsia"/>
      <w:sz w:val="16"/>
      <w:szCs w:val="16"/>
      <w:lang w:val="en-IN" w:eastAsia="en-IN"/>
    </w:rPr>
  </w:style>
  <w:style w:type="table" w:styleId="TableGrid">
    <w:name w:val="Table Grid"/>
    <w:basedOn w:val="TableNormal"/>
    <w:rsid w:val="00822E85"/>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822E85"/>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822E85"/>
    <w:rPr>
      <w:rFonts w:ascii="Times New Roman" w:eastAsia="Times New Roman" w:hAnsi="Times New Roman" w:cs="Times New Roman"/>
      <w:sz w:val="20"/>
      <w:szCs w:val="20"/>
    </w:rPr>
  </w:style>
  <w:style w:type="paragraph" w:styleId="BlockText">
    <w:name w:val="Block Text"/>
    <w:basedOn w:val="Normal"/>
    <w:rsid w:val="00822E85"/>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822E85"/>
  </w:style>
  <w:style w:type="paragraph" w:styleId="Title">
    <w:name w:val="Title"/>
    <w:basedOn w:val="Normal"/>
    <w:link w:val="TitleChar"/>
    <w:qFormat/>
    <w:rsid w:val="00822E85"/>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822E85"/>
    <w:rPr>
      <w:rFonts w:ascii="Times New Roman" w:eastAsia="Times New Roman" w:hAnsi="Times New Roman" w:cs="Times New Roman"/>
      <w:b/>
      <w:bCs/>
      <w:i/>
      <w:iCs/>
      <w:sz w:val="36"/>
      <w:szCs w:val="24"/>
    </w:rPr>
  </w:style>
  <w:style w:type="paragraph" w:styleId="Subtitle">
    <w:name w:val="Subtitle"/>
    <w:basedOn w:val="Normal"/>
    <w:link w:val="SubtitleChar"/>
    <w:qFormat/>
    <w:rsid w:val="00822E85"/>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822E85"/>
    <w:rPr>
      <w:rFonts w:ascii="Times New Roman" w:eastAsia="Times New Roman" w:hAnsi="Times New Roman" w:cs="Times New Roman"/>
      <w:b/>
      <w:sz w:val="26"/>
      <w:szCs w:val="20"/>
    </w:rPr>
  </w:style>
  <w:style w:type="character" w:styleId="Hyperlink">
    <w:name w:val="Hyperlink"/>
    <w:basedOn w:val="DefaultParagraphFont"/>
    <w:rsid w:val="00822E85"/>
    <w:rPr>
      <w:color w:val="0000FF"/>
      <w:u w:val="single"/>
    </w:rPr>
  </w:style>
  <w:style w:type="character" w:styleId="FollowedHyperlink">
    <w:name w:val="FollowedHyperlink"/>
    <w:basedOn w:val="DefaultParagraphFont"/>
    <w:rsid w:val="00822E85"/>
    <w:rPr>
      <w:color w:val="800080"/>
      <w:u w:val="single"/>
    </w:rPr>
  </w:style>
  <w:style w:type="paragraph" w:styleId="BalloonText">
    <w:name w:val="Balloon Text"/>
    <w:basedOn w:val="Normal"/>
    <w:link w:val="BalloonTextChar"/>
    <w:uiPriority w:val="99"/>
    <w:unhideWhenUsed/>
    <w:rsid w:val="0082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22E85"/>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822E85"/>
  </w:style>
  <w:style w:type="character" w:customStyle="1" w:styleId="apple-style-span">
    <w:name w:val="apple-style-span"/>
    <w:basedOn w:val="DefaultParagraphFont"/>
    <w:rsid w:val="00822E85"/>
  </w:style>
  <w:style w:type="paragraph" w:styleId="NoSpacing">
    <w:name w:val="No Spacing"/>
    <w:uiPriority w:val="1"/>
    <w:qFormat/>
    <w:rsid w:val="00822E85"/>
    <w:pPr>
      <w:spacing w:after="0" w:line="240" w:lineRule="auto"/>
    </w:pPr>
    <w:rPr>
      <w:rFonts w:ascii="Calibri" w:eastAsia="PMingLiU" w:hAnsi="Calibri" w:cs="Times New Roman"/>
      <w:lang w:val="en-IN" w:eastAsia="zh-TW"/>
    </w:rPr>
  </w:style>
  <w:style w:type="paragraph" w:styleId="NormalWeb">
    <w:name w:val="Normal (Web)"/>
    <w:basedOn w:val="Normal"/>
    <w:rsid w:val="00822E8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3098</Characters>
  <Application>Microsoft Office Word</Application>
  <DocSecurity>0</DocSecurity>
  <Lines>25</Lines>
  <Paragraphs>7</Paragraphs>
  <ScaleCrop>false</ScaleCrop>
  <Company>Hewlett-Packard Company</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2012-09-18T09:43:00Z</dcterms:created>
  <dcterms:modified xsi:type="dcterms:W3CDTF">2012-09-18T09:43:00Z</dcterms:modified>
</cp:coreProperties>
</file>