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94F" w:rsidRPr="00683FBA" w:rsidRDefault="00CB694F" w:rsidP="00CB694F">
      <w:pPr>
        <w:pStyle w:val="BodyTextIndent"/>
        <w:spacing w:after="200"/>
        <w:ind w:left="2835" w:right="-46" w:hanging="2268"/>
        <w:rPr>
          <w:rFonts w:eastAsiaTheme="minorEastAsia"/>
          <w:b/>
          <w:lang w:val="en-IN" w:eastAsia="en-IN"/>
        </w:rPr>
      </w:pPr>
      <w:r w:rsidRPr="00683FBA">
        <w:rPr>
          <w:b/>
        </w:rPr>
        <w:t>ORDINANCE – 35:   ESTABLISHMENT OF ‘CENTRES OF EXCELLENCE’ IN THE UNIVERSITY</w:t>
      </w:r>
    </w:p>
    <w:p w:rsidR="00CB694F" w:rsidRPr="00683FBA" w:rsidRDefault="00CB694F" w:rsidP="00CB694F">
      <w:pPr>
        <w:spacing w:line="240" w:lineRule="auto"/>
        <w:ind w:left="567"/>
        <w:jc w:val="both"/>
        <w:rPr>
          <w:rFonts w:ascii="Times New Roman" w:hAnsi="Times New Roman" w:cs="Times New Roman"/>
          <w:sz w:val="24"/>
          <w:szCs w:val="24"/>
        </w:rPr>
      </w:pPr>
      <w:r w:rsidRPr="00683FBA">
        <w:rPr>
          <w:rFonts w:ascii="Times New Roman" w:hAnsi="Times New Roman" w:cs="Times New Roman"/>
          <w:sz w:val="24"/>
          <w:szCs w:val="24"/>
        </w:rPr>
        <w:t>In pursuance of the provisions of Section 27 of the Guru Gobind Singh Indraprastha University Act 1998 (9 of 1998), the Board of Management of the University in its 48</w:t>
      </w:r>
      <w:r w:rsidRPr="00683FBA">
        <w:rPr>
          <w:rFonts w:ascii="Times New Roman" w:hAnsi="Times New Roman" w:cs="Times New Roman"/>
          <w:sz w:val="24"/>
          <w:szCs w:val="24"/>
          <w:vertAlign w:val="superscript"/>
        </w:rPr>
        <w:t>th</w:t>
      </w:r>
      <w:r w:rsidRPr="00683FBA">
        <w:rPr>
          <w:rFonts w:ascii="Times New Roman" w:hAnsi="Times New Roman" w:cs="Times New Roman"/>
          <w:sz w:val="24"/>
          <w:szCs w:val="24"/>
        </w:rPr>
        <w:t xml:space="preserve"> meeting held on 29.11.2011 vide agenda item No.48.11 taking into consideration the Powers of the University as per section 5, has approved for creation of the following New Ordinance – 35 relating to establishment of ‘Centres of Excellence’ in the university. </w:t>
      </w:r>
    </w:p>
    <w:p w:rsidR="00CB694F" w:rsidRPr="00683FBA" w:rsidRDefault="00CB694F" w:rsidP="00CB694F">
      <w:pPr>
        <w:spacing w:line="240" w:lineRule="auto"/>
        <w:ind w:left="567"/>
        <w:jc w:val="both"/>
        <w:rPr>
          <w:rFonts w:ascii="Times New Roman" w:hAnsi="Times New Roman" w:cs="Times New Roman"/>
          <w:sz w:val="24"/>
          <w:szCs w:val="24"/>
        </w:rPr>
      </w:pPr>
      <w:r w:rsidRPr="00683FBA">
        <w:rPr>
          <w:rFonts w:ascii="Times New Roman" w:hAnsi="Times New Roman" w:cs="Times New Roman"/>
          <w:sz w:val="24"/>
          <w:szCs w:val="24"/>
        </w:rPr>
        <w:t>The centres of Excellence will come up in those areas of disciplines where it can either provide exemplary academic performance and / or serve the cause of promoting inter-disciplinary academic-cum-research based distinguishable and superb advanced instructions coupled with set of knowledge and skills such as Disaster Management, Urban Planning and Design, Genome Studies, Human Values and Ethics, Nano Science and Technology, Pharmaceutical Studies, etc.  Other Centres may be created as per the requirement of the University.</w:t>
      </w:r>
    </w:p>
    <w:p w:rsidR="00CB694F" w:rsidRPr="00683FBA" w:rsidRDefault="00CB694F" w:rsidP="00CB694F">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w:t>
      </w:r>
      <w:r w:rsidRPr="00683FBA">
        <w:rPr>
          <w:rFonts w:ascii="Times New Roman" w:hAnsi="Times New Roman" w:cs="Times New Roman"/>
          <w:sz w:val="24"/>
          <w:szCs w:val="24"/>
        </w:rPr>
        <w:tab/>
        <w:t>Definitions:</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r>
      <w:r w:rsidRPr="00683FBA">
        <w:rPr>
          <w:rFonts w:ascii="Times New Roman" w:hAnsi="Times New Roman" w:cs="Times New Roman"/>
          <w:b/>
          <w:sz w:val="24"/>
          <w:szCs w:val="24"/>
        </w:rPr>
        <w:t>“Centre of Excellence”</w:t>
      </w:r>
      <w:r w:rsidRPr="00683FBA">
        <w:rPr>
          <w:rFonts w:ascii="Times New Roman" w:hAnsi="Times New Roman" w:cs="Times New Roman"/>
          <w:sz w:val="24"/>
          <w:szCs w:val="24"/>
        </w:rPr>
        <w:t xml:space="preserve"> shall have the separate academic-cum-research identity akin to University Schools in the specified discipline/ branch of academic discipline/ inter-disciplines wherein the University can impart high class and notable instructions and carry out frontier research in its relevant branch or interwoven academic-cum-research subject.</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r>
      <w:r w:rsidRPr="00683FBA">
        <w:rPr>
          <w:rFonts w:ascii="Times New Roman" w:hAnsi="Times New Roman" w:cs="Times New Roman"/>
          <w:b/>
          <w:sz w:val="24"/>
          <w:szCs w:val="24"/>
        </w:rPr>
        <w:t>‘Director’</w:t>
      </w:r>
      <w:r w:rsidRPr="00683FBA">
        <w:rPr>
          <w:rFonts w:ascii="Times New Roman" w:hAnsi="Times New Roman" w:cs="Times New Roman"/>
          <w:sz w:val="24"/>
          <w:szCs w:val="24"/>
        </w:rPr>
        <w:t xml:space="preserve"> shall be a position in the Professors rank/ pay scale and he/ she would be the Head of the Centre of Excellence.</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(c)</w:t>
      </w:r>
      <w:r w:rsidRPr="00683FBA">
        <w:rPr>
          <w:rFonts w:ascii="Times New Roman" w:hAnsi="Times New Roman" w:cs="Times New Roman"/>
          <w:sz w:val="24"/>
          <w:szCs w:val="24"/>
        </w:rPr>
        <w:tab/>
      </w:r>
      <w:r w:rsidRPr="00683FBA">
        <w:rPr>
          <w:rFonts w:ascii="Times New Roman" w:hAnsi="Times New Roman" w:cs="Times New Roman"/>
          <w:b/>
          <w:sz w:val="24"/>
          <w:szCs w:val="24"/>
        </w:rPr>
        <w:t>‘Faculty’</w:t>
      </w:r>
      <w:r w:rsidRPr="00683FBA">
        <w:rPr>
          <w:rFonts w:ascii="Times New Roman" w:hAnsi="Times New Roman" w:cs="Times New Roman"/>
          <w:sz w:val="24"/>
          <w:szCs w:val="24"/>
        </w:rPr>
        <w:t xml:space="preserve"> of each Centre shall comprise of Professor/s, Associate Professor/s and Assistant Professor/s as is the case in the University Schools of Studies.  The Faculty for the Centre could either be recruited or may be drawn from the University Schools of Studies.  Faulty members drawn from the University Schools of Studies may have dual membership, i.e. one, for the School to which it belongs, and another for the concerned Centre.</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(d)</w:t>
      </w:r>
      <w:r w:rsidRPr="00683FBA">
        <w:rPr>
          <w:rFonts w:ascii="Times New Roman" w:hAnsi="Times New Roman" w:cs="Times New Roman"/>
          <w:sz w:val="24"/>
          <w:szCs w:val="24"/>
        </w:rPr>
        <w:tab/>
      </w:r>
      <w:r w:rsidRPr="00683FBA">
        <w:rPr>
          <w:rFonts w:ascii="Times New Roman" w:hAnsi="Times New Roman" w:cs="Times New Roman"/>
          <w:b/>
          <w:sz w:val="24"/>
          <w:szCs w:val="24"/>
        </w:rPr>
        <w:t>‘Adjunct Faculty’</w:t>
      </w:r>
      <w:r w:rsidRPr="00683FBA">
        <w:rPr>
          <w:rFonts w:ascii="Times New Roman" w:hAnsi="Times New Roman" w:cs="Times New Roman"/>
          <w:sz w:val="24"/>
          <w:szCs w:val="24"/>
        </w:rPr>
        <w:t xml:space="preserve"> of the Centre of Excellence shall denote that faculty which is appointed from among the renowned corporate, administrators and researchers of the leading national/ international organizations/ institutions of world repute ; however, they would carry the designations of ‘Adjunct Professors’, ‘Adjunct Associate Professors’ and ‘Adjunct Assistant Professors’ but shall enjoy the same pay and allowances as is the case of Professors, Associate Professors and Assistant Professors in the case of University Schools of Studies.</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(e)  </w:t>
      </w:r>
      <w:r w:rsidRPr="00683FBA">
        <w:rPr>
          <w:rFonts w:ascii="Times New Roman" w:hAnsi="Times New Roman" w:cs="Times New Roman"/>
          <w:sz w:val="24"/>
          <w:szCs w:val="24"/>
        </w:rPr>
        <w:tab/>
      </w:r>
      <w:r w:rsidRPr="00683FBA">
        <w:rPr>
          <w:rFonts w:ascii="Times New Roman" w:hAnsi="Times New Roman" w:cs="Times New Roman"/>
          <w:b/>
          <w:sz w:val="24"/>
          <w:szCs w:val="24"/>
        </w:rPr>
        <w:t>‘Steering Committee’</w:t>
      </w:r>
      <w:r w:rsidRPr="00683FBA">
        <w:rPr>
          <w:rFonts w:ascii="Times New Roman" w:hAnsi="Times New Roman" w:cs="Times New Roman"/>
          <w:sz w:val="24"/>
          <w:szCs w:val="24"/>
        </w:rPr>
        <w:t xml:space="preserve"> of the Centre of Excellence would denote the same meaning as that of a Board of School of Studies as defined in the Sub Clause (a) of Clause 2 of University’s Ordinance 2 ; the composition shall, however, be as given hereunder :</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t>(i)</w:t>
      </w:r>
      <w:r w:rsidRPr="00683FBA">
        <w:rPr>
          <w:rFonts w:ascii="Times New Roman" w:hAnsi="Times New Roman" w:cs="Times New Roman"/>
          <w:sz w:val="24"/>
          <w:szCs w:val="24"/>
        </w:rPr>
        <w:tab/>
        <w:t xml:space="preserve">Director of the Centre of Excellence; </w:t>
      </w:r>
    </w:p>
    <w:p w:rsidR="00CB694F" w:rsidRPr="00683FBA" w:rsidRDefault="00CB694F" w:rsidP="00CB694F">
      <w:pPr>
        <w:spacing w:line="240" w:lineRule="auto"/>
        <w:ind w:left="1418" w:hanging="69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 xml:space="preserve">Professors/ Adjunct Professors in the Centre of Excellence, 03 Associate Professors/ Adjunct Associate Professors by rotation according to seniority, 02 Assistant Professors/ Adjunct Assistant Professors by rotation according to </w:t>
      </w:r>
      <w:r w:rsidRPr="00683FBA">
        <w:rPr>
          <w:rFonts w:ascii="Times New Roman" w:hAnsi="Times New Roman" w:cs="Times New Roman"/>
          <w:sz w:val="24"/>
          <w:szCs w:val="24"/>
        </w:rPr>
        <w:lastRenderedPageBreak/>
        <w:t xml:space="preserve">seniority amongst the Assistant Professors appointed in the Centre, respectively ; and, </w:t>
      </w:r>
    </w:p>
    <w:p w:rsidR="00CB694F" w:rsidRPr="00683FBA" w:rsidRDefault="00CB694F" w:rsidP="00CB694F">
      <w:pPr>
        <w:spacing w:line="240" w:lineRule="auto"/>
        <w:ind w:left="1418" w:hanging="690"/>
        <w:jc w:val="both"/>
        <w:rPr>
          <w:rFonts w:ascii="Times New Roman" w:hAnsi="Times New Roman" w:cs="Times New Roman"/>
          <w:sz w:val="24"/>
          <w:szCs w:val="24"/>
        </w:rPr>
      </w:pPr>
      <w:r w:rsidRPr="00683FBA">
        <w:rPr>
          <w:rFonts w:ascii="Times New Roman" w:hAnsi="Times New Roman" w:cs="Times New Roman"/>
          <w:sz w:val="24"/>
          <w:szCs w:val="24"/>
        </w:rPr>
        <w:t>(iii)</w:t>
      </w:r>
      <w:r w:rsidRPr="00683FBA">
        <w:rPr>
          <w:rFonts w:ascii="Times New Roman" w:hAnsi="Times New Roman" w:cs="Times New Roman"/>
          <w:sz w:val="24"/>
          <w:szCs w:val="24"/>
        </w:rPr>
        <w:tab/>
        <w:t>05 Eminent Members nominated by the Vice Chancellor for their special knowledge in any subject assigned to the Centre or in any allied/ inter-disciplinary branch of studies.</w:t>
      </w:r>
    </w:p>
    <w:p w:rsidR="00CB694F" w:rsidRPr="00683FBA" w:rsidRDefault="00CB694F" w:rsidP="00CB694F">
      <w:pPr>
        <w:tabs>
          <w:tab w:val="left" w:pos="426"/>
        </w:tabs>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t>II</w:t>
      </w:r>
      <w:r w:rsidRPr="00683FBA">
        <w:rPr>
          <w:rFonts w:ascii="Times New Roman" w:hAnsi="Times New Roman" w:cs="Times New Roman"/>
          <w:sz w:val="24"/>
          <w:szCs w:val="24"/>
        </w:rPr>
        <w:tab/>
        <w:t>All members of the Steering Committee, other than Ex-Officio Members, shall hold office for a term of 02 years.  The term of tenure shall commence from the date they may be nominated.  Members can be considered for re-nomination.</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(f)</w:t>
      </w:r>
      <w:r w:rsidRPr="00683FBA">
        <w:rPr>
          <w:rFonts w:ascii="Times New Roman" w:hAnsi="Times New Roman" w:cs="Times New Roman"/>
          <w:sz w:val="24"/>
          <w:szCs w:val="24"/>
        </w:rPr>
        <w:tab/>
      </w:r>
      <w:r w:rsidRPr="00683FBA">
        <w:rPr>
          <w:rFonts w:ascii="Times New Roman" w:hAnsi="Times New Roman" w:cs="Times New Roman"/>
          <w:b/>
          <w:sz w:val="24"/>
          <w:szCs w:val="24"/>
        </w:rPr>
        <w:t>‘Centre Research and Consultancy Committee’</w:t>
      </w:r>
      <w:r w:rsidRPr="00683FBA">
        <w:rPr>
          <w:rFonts w:ascii="Times New Roman" w:hAnsi="Times New Roman" w:cs="Times New Roman"/>
          <w:sz w:val="24"/>
          <w:szCs w:val="24"/>
        </w:rPr>
        <w:t xml:space="preserve"> of a Centre would broadly denote the same meaning as that of SRC as defined in Sub Clause (xvii) of Clause 1 of Ordinance 12 excepting that it would additionally take care of consultancy related issues.  Accordingly, it will consist of the Director of the concerned Centre of Excellence, 03 Professors/ Adjunct Professors of the concerned Centre of Excellence by rotation in order of seniority (for one year), 01 Associate Professor/ Adjunct Associate Professor and 01 Assistant Professor/ Adjunct Assistant Professor by rotation in order of seniority (for one year) and the proposed Supervisor/s, or the Approved Supervisor/s and the Faculty/ies likely to be involved in the sponsored consultancy project, if applicable.  If the Director so desires may also include in this Committee an eminent academician/s who might be concerned with the subject of the research/ providing necessary director so that the proposed research/ consultancy could really be frontier and innovative and may constitute a piece of research/ set of recommendations for filling up an important gap that may be found in the existing literature on teh subject at a national/ global level.</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(g)</w:t>
      </w:r>
      <w:r w:rsidRPr="00683FBA">
        <w:rPr>
          <w:rFonts w:ascii="Times New Roman" w:hAnsi="Times New Roman" w:cs="Times New Roman"/>
          <w:sz w:val="24"/>
          <w:szCs w:val="24"/>
        </w:rPr>
        <w:tab/>
      </w:r>
      <w:r w:rsidRPr="00683FBA">
        <w:rPr>
          <w:rFonts w:ascii="Times New Roman" w:hAnsi="Times New Roman" w:cs="Times New Roman"/>
          <w:b/>
          <w:sz w:val="24"/>
          <w:szCs w:val="24"/>
        </w:rPr>
        <w:t>‘Faculty Council’</w:t>
      </w:r>
      <w:r w:rsidRPr="00683FBA">
        <w:rPr>
          <w:rFonts w:ascii="Times New Roman" w:hAnsi="Times New Roman" w:cs="Times New Roman"/>
          <w:sz w:val="24"/>
          <w:szCs w:val="24"/>
        </w:rPr>
        <w:t xml:space="preserve"> of any Centre of Excellence shall be comprised of Director, all Professors (including all Adjunct Professors), all Associate Professors (including al Adjunct Associate Professors) and all Assistant Professors (including all Adjunct Assistant Professors)</w:t>
      </w:r>
    </w:p>
    <w:p w:rsidR="00CB694F" w:rsidRPr="00683FBA" w:rsidRDefault="00CB694F" w:rsidP="00CB694F">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w:t>
      </w:r>
      <w:r w:rsidRPr="00683FBA">
        <w:rPr>
          <w:rFonts w:ascii="Times New Roman" w:hAnsi="Times New Roman" w:cs="Times New Roman"/>
          <w:b/>
          <w:sz w:val="24"/>
          <w:szCs w:val="24"/>
        </w:rPr>
        <w:tab/>
        <w:t>Functions of the Centre</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t>Each Centre of Excellence shall undertake all such functions which are of dynamic in nature and performing of the same shall directly product visible results as may be beneficial to the humanity at large ; and, these functions shall be identified on the basis of inputs gathered from the faculties of the different University Schools, Industry and Research Scholars and the resultant outputs may either lead to knowledge Creation or could be utilized by the Schools for strengthening their teaching programmes and by the Industry for enhancing their technical &amp; managerial competencies.</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t xml:space="preserve">Each Centre of Excellence shall undertake or promote frontier/ distinguishable research in the subject/ discipline which may fill up the existing gap of literature on the subject in the research at national/ international level; this research could either be taken by the faculty of Centre of Excellence or by its students or in collaboration with corporate, administrative and research organizations of national and international repute.  Each Centre of Excellence shall, however, have the flexibility in matter of accepting research projects to be funded by external agencies.  Based on the findings of the research conducted, the Centre can also develop and start focussed academic programme/s, which could be of an inter-disciplinary nature that may increase the </w:t>
      </w:r>
      <w:r w:rsidRPr="00683FBA">
        <w:rPr>
          <w:rFonts w:ascii="Times New Roman" w:hAnsi="Times New Roman" w:cs="Times New Roman"/>
          <w:sz w:val="24"/>
          <w:szCs w:val="24"/>
        </w:rPr>
        <w:lastRenderedPageBreak/>
        <w:t>employability and promote industry interaction.  As a matter of fact, these programmes are expected to be highly innovative and as per the need of the Next Orbit or is / are likely to act as ‘Change Agent’ both at national &amp; Global levels.</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(c)</w:t>
      </w:r>
      <w:r w:rsidRPr="00683FBA">
        <w:rPr>
          <w:rFonts w:ascii="Times New Roman" w:hAnsi="Times New Roman" w:cs="Times New Roman"/>
          <w:sz w:val="24"/>
          <w:szCs w:val="24"/>
        </w:rPr>
        <w:tab/>
        <w:t>Each Centre shall undertake/ promote consultancy in the areas which are niche areas of the Centre for the benefit of the corporate/ administrative/ state/ community/ the nation at large.</w:t>
      </w:r>
    </w:p>
    <w:p w:rsidR="00CB694F" w:rsidRPr="00683FBA" w:rsidRDefault="00CB694F" w:rsidP="00CB694F">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3.</w:t>
      </w:r>
      <w:r w:rsidRPr="00683FBA">
        <w:rPr>
          <w:rFonts w:ascii="Times New Roman" w:hAnsi="Times New Roman" w:cs="Times New Roman"/>
          <w:b/>
          <w:sz w:val="24"/>
          <w:szCs w:val="24"/>
        </w:rPr>
        <w:tab/>
        <w:t>Functions of the Steering Committee</w:t>
      </w:r>
    </w:p>
    <w:p w:rsidR="00CB694F" w:rsidRPr="00683FBA" w:rsidRDefault="00CB694F" w:rsidP="00CB694F">
      <w:pPr>
        <w:tabs>
          <w:tab w:val="left" w:pos="284"/>
        </w:tabs>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t>(a)</w:t>
      </w:r>
      <w:r w:rsidRPr="00683FBA">
        <w:rPr>
          <w:rFonts w:ascii="Times New Roman" w:hAnsi="Times New Roman" w:cs="Times New Roman"/>
          <w:sz w:val="24"/>
          <w:szCs w:val="24"/>
        </w:rPr>
        <w:tab/>
        <w:t xml:space="preserve">The General Powers and Functions of the Steering Committee shall broadly be the same as laid down in Sub Clause (‘c’) of the Clause 2 of the University’s </w:t>
      </w:r>
      <w:proofErr w:type="gramStart"/>
      <w:r w:rsidRPr="00683FBA">
        <w:rPr>
          <w:rFonts w:ascii="Times New Roman" w:hAnsi="Times New Roman" w:cs="Times New Roman"/>
          <w:sz w:val="24"/>
          <w:szCs w:val="24"/>
        </w:rPr>
        <w:t>Ordinance :</w:t>
      </w:r>
      <w:proofErr w:type="gramEnd"/>
      <w:r w:rsidRPr="00683FBA">
        <w:rPr>
          <w:rFonts w:ascii="Times New Roman" w:hAnsi="Times New Roman" w:cs="Times New Roman"/>
          <w:sz w:val="24"/>
          <w:szCs w:val="24"/>
        </w:rPr>
        <w:t xml:space="preserve"> 2 for the Board of Studies of an University School.</w:t>
      </w:r>
    </w:p>
    <w:p w:rsidR="00CB694F" w:rsidRPr="00683FBA" w:rsidRDefault="00CB694F" w:rsidP="00CB694F">
      <w:pPr>
        <w:tabs>
          <w:tab w:val="left" w:pos="284"/>
        </w:tabs>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t>(b)</w:t>
      </w:r>
      <w:r w:rsidRPr="00683FBA">
        <w:rPr>
          <w:rFonts w:ascii="Times New Roman" w:hAnsi="Times New Roman" w:cs="Times New Roman"/>
          <w:sz w:val="24"/>
          <w:szCs w:val="24"/>
        </w:rPr>
        <w:tab/>
        <w:t>Besides, it will have the following specific powers and functions:</w:t>
      </w:r>
    </w:p>
    <w:p w:rsidR="00CB694F" w:rsidRPr="00683FBA" w:rsidRDefault="00CB694F" w:rsidP="00CB694F">
      <w:pPr>
        <w:spacing w:line="240" w:lineRule="auto"/>
        <w:ind w:left="1134" w:hanging="420"/>
        <w:jc w:val="both"/>
        <w:rPr>
          <w:rFonts w:ascii="Times New Roman" w:hAnsi="Times New Roman" w:cs="Times New Roman"/>
          <w:sz w:val="24"/>
          <w:szCs w:val="24"/>
        </w:rPr>
      </w:pPr>
      <w:r w:rsidRPr="00683FBA">
        <w:rPr>
          <w:rFonts w:ascii="Times New Roman" w:hAnsi="Times New Roman" w:cs="Times New Roman"/>
          <w:sz w:val="24"/>
          <w:szCs w:val="24"/>
        </w:rPr>
        <w:t>(I)</w:t>
      </w:r>
      <w:r w:rsidRPr="00683FBA">
        <w:rPr>
          <w:rFonts w:ascii="Times New Roman" w:hAnsi="Times New Roman" w:cs="Times New Roman"/>
          <w:sz w:val="24"/>
          <w:szCs w:val="24"/>
        </w:rPr>
        <w:tab/>
        <w:t>It will prepare the ‘strategic plans’ for each successive period of 05 years aside lying down the necessary objectives, targets and courses of actions for implementing the each successive plan of the concerned Centre ; this Plan shall cover both the assigned/ chosen / developed over the period as pivotal academic, research and extension fields.</w:t>
      </w:r>
    </w:p>
    <w:p w:rsidR="00CB694F" w:rsidRPr="00683FBA" w:rsidRDefault="00CB694F" w:rsidP="00CB694F">
      <w:pPr>
        <w:spacing w:line="240" w:lineRule="auto"/>
        <w:ind w:left="1134" w:hanging="420"/>
        <w:jc w:val="both"/>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It will also act as an ‘Innovation Centre’ in the assigned / developed areas of academic-cum-research-cum extension activity in order to assist, maintain and depict its excellence over the period of time.</w:t>
      </w:r>
    </w:p>
    <w:p w:rsidR="00CB694F" w:rsidRPr="00683FBA" w:rsidRDefault="00CB694F" w:rsidP="00CB694F">
      <w:pPr>
        <w:pStyle w:val="ListParagraph"/>
        <w:numPr>
          <w:ilvl w:val="0"/>
          <w:numId w:val="1"/>
        </w:numPr>
        <w:spacing w:line="240" w:lineRule="auto"/>
        <w:ind w:left="1134" w:hanging="425"/>
        <w:jc w:val="both"/>
        <w:rPr>
          <w:rFonts w:ascii="Times New Roman" w:hAnsi="Times New Roman"/>
          <w:sz w:val="24"/>
          <w:szCs w:val="24"/>
        </w:rPr>
      </w:pPr>
      <w:r w:rsidRPr="00683FBA">
        <w:rPr>
          <w:rFonts w:ascii="Times New Roman" w:hAnsi="Times New Roman"/>
          <w:sz w:val="24"/>
          <w:szCs w:val="24"/>
        </w:rPr>
        <w:t>It will operate within a consciously framed ‘financial strategy’ so that, over a period of time, it is enabled to conduct its activities on a self-financing mode.</w:t>
      </w:r>
    </w:p>
    <w:p w:rsidR="00CB694F" w:rsidRPr="00683FBA" w:rsidRDefault="00CB694F" w:rsidP="00CB694F">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4.</w:t>
      </w:r>
      <w:r w:rsidRPr="00683FBA">
        <w:rPr>
          <w:rFonts w:ascii="Times New Roman" w:hAnsi="Times New Roman" w:cs="Times New Roman"/>
          <w:b/>
          <w:sz w:val="24"/>
          <w:szCs w:val="24"/>
        </w:rPr>
        <w:tab/>
        <w:t>Powers and Functions of the Centre Research and Consultancy Committee</w:t>
      </w:r>
    </w:p>
    <w:p w:rsidR="00CB694F" w:rsidRPr="00683FBA" w:rsidRDefault="00CB694F" w:rsidP="00CB694F">
      <w:pPr>
        <w:tabs>
          <w:tab w:val="left" w:pos="284"/>
        </w:tabs>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r>
      <w:r w:rsidRPr="00683FBA">
        <w:rPr>
          <w:rFonts w:ascii="Times New Roman" w:hAnsi="Times New Roman" w:cs="Times New Roman"/>
          <w:sz w:val="24"/>
          <w:szCs w:val="24"/>
        </w:rPr>
        <w:tab/>
        <w:t>The primary function of the Centre Research and Consultancy Committee shall be to perform the same functions as described for a “SRC” in the University’s Ordinance – 12 in so far as the conduct of research by a Student/ Fellow/ Research Scholar is concerned.</w:t>
      </w:r>
    </w:p>
    <w:p w:rsidR="00CB694F" w:rsidRPr="00683FBA" w:rsidRDefault="00CB694F" w:rsidP="00CB694F">
      <w:pPr>
        <w:tabs>
          <w:tab w:val="left" w:pos="284"/>
        </w:tabs>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r>
      <w:r w:rsidRPr="00683FBA">
        <w:rPr>
          <w:rFonts w:ascii="Times New Roman" w:hAnsi="Times New Roman" w:cs="Times New Roman"/>
          <w:sz w:val="24"/>
          <w:szCs w:val="24"/>
        </w:rPr>
        <w:tab/>
        <w:t>It will have meetings at frequent intervals to carry out necessary brainstorming sessions for the identification of innovative subjects on which the research and consultancy could be carried out.</w:t>
      </w:r>
      <w:r w:rsidRPr="00683FBA">
        <w:rPr>
          <w:rFonts w:ascii="Times New Roman" w:hAnsi="Times New Roman" w:cs="Times New Roman"/>
          <w:sz w:val="24"/>
          <w:szCs w:val="24"/>
        </w:rPr>
        <w:tab/>
      </w:r>
    </w:p>
    <w:p w:rsidR="00CB694F" w:rsidRPr="00683FBA" w:rsidRDefault="00CB694F" w:rsidP="00CB694F">
      <w:pPr>
        <w:tabs>
          <w:tab w:val="left" w:pos="284"/>
        </w:tabs>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(c)</w:t>
      </w:r>
      <w:r w:rsidRPr="00683FBA">
        <w:rPr>
          <w:rFonts w:ascii="Times New Roman" w:hAnsi="Times New Roman" w:cs="Times New Roman"/>
          <w:sz w:val="24"/>
          <w:szCs w:val="24"/>
        </w:rPr>
        <w:tab/>
      </w:r>
      <w:r w:rsidRPr="00683FBA">
        <w:rPr>
          <w:rFonts w:ascii="Times New Roman" w:hAnsi="Times New Roman" w:cs="Times New Roman"/>
          <w:sz w:val="24"/>
          <w:szCs w:val="24"/>
        </w:rPr>
        <w:tab/>
        <w:t>It will formulate the necessary Schemes of Scholarships for the benefit of perspective Research Scholars/ Fellows as also the identification of ‘Capability Areas of the Centre’ in which the consultancy projects could be attracted and carried out for the purposes of necessary revenue generation on the one hand, and for strengthening the Research and Development activities of the University, on the other.</w:t>
      </w:r>
    </w:p>
    <w:p w:rsidR="00CB694F" w:rsidRPr="00683FBA" w:rsidRDefault="00CB694F" w:rsidP="00CB694F">
      <w:pPr>
        <w:tabs>
          <w:tab w:val="left" w:pos="284"/>
        </w:tabs>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5.</w:t>
      </w:r>
      <w:r w:rsidRPr="00683FBA">
        <w:rPr>
          <w:rFonts w:ascii="Times New Roman" w:hAnsi="Times New Roman" w:cs="Times New Roman"/>
          <w:b/>
          <w:sz w:val="24"/>
          <w:szCs w:val="24"/>
        </w:rPr>
        <w:tab/>
      </w:r>
      <w:r w:rsidRPr="00683FBA">
        <w:rPr>
          <w:rFonts w:ascii="Times New Roman" w:hAnsi="Times New Roman" w:cs="Times New Roman"/>
          <w:b/>
          <w:sz w:val="24"/>
          <w:szCs w:val="24"/>
        </w:rPr>
        <w:tab/>
        <w:t>Functions of the Faculty Council</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t>The academic functions of the Faculty Council of the Centre of Excellence shall be to assist the Director in the preparation of the Strategic Plans for the Centre and their timely implementation.</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t>It can also deliberate upon the issues that may be suggested by any faculty of the Centre or is/ are placed for discussion by the Director of the Centre.</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lastRenderedPageBreak/>
        <w:t>(c)</w:t>
      </w:r>
      <w:r w:rsidRPr="00683FBA">
        <w:rPr>
          <w:rFonts w:ascii="Times New Roman" w:hAnsi="Times New Roman" w:cs="Times New Roman"/>
          <w:sz w:val="24"/>
          <w:szCs w:val="24"/>
        </w:rPr>
        <w:tab/>
        <w:t>It will further carry out any function that may be specifically assigned by the Vice- Chancellor of the University</w:t>
      </w:r>
    </w:p>
    <w:p w:rsidR="00CB694F" w:rsidRPr="00683FBA" w:rsidRDefault="00CB694F" w:rsidP="00CB694F">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6.</w:t>
      </w:r>
      <w:r w:rsidRPr="00683FBA">
        <w:rPr>
          <w:rFonts w:ascii="Times New Roman" w:hAnsi="Times New Roman" w:cs="Times New Roman"/>
          <w:b/>
          <w:sz w:val="24"/>
          <w:szCs w:val="24"/>
        </w:rPr>
        <w:tab/>
        <w:t>Powers of the Director</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t>The Directors of the Centre of Excellence shall have the same responsibilities and authorities, including financial delegations, as that of a Dean of a University School of Study.</w:t>
      </w:r>
    </w:p>
    <w:p w:rsidR="00CB694F" w:rsidRPr="00683FBA" w:rsidRDefault="00CB694F" w:rsidP="00CB694F">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7.</w:t>
      </w:r>
      <w:r w:rsidRPr="00683FBA">
        <w:rPr>
          <w:rFonts w:ascii="Times New Roman" w:hAnsi="Times New Roman" w:cs="Times New Roman"/>
          <w:b/>
          <w:sz w:val="24"/>
          <w:szCs w:val="24"/>
        </w:rPr>
        <w:tab/>
        <w:t>Meetings</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w:t>
      </w:r>
      <w:r w:rsidRPr="00683FBA">
        <w:rPr>
          <w:rFonts w:ascii="Times New Roman" w:hAnsi="Times New Roman" w:cs="Times New Roman"/>
          <w:sz w:val="24"/>
          <w:szCs w:val="24"/>
        </w:rPr>
        <w:tab/>
        <w:t>The Faculty Council shall have atleast quarterly meetings and the notice for a meeting shall ordinarily be issued atleast 10 days before the day fixed for the meeting</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(b)</w:t>
      </w:r>
      <w:r w:rsidRPr="00683FBA">
        <w:rPr>
          <w:rFonts w:ascii="Times New Roman" w:hAnsi="Times New Roman" w:cs="Times New Roman"/>
          <w:sz w:val="24"/>
          <w:szCs w:val="24"/>
        </w:rPr>
        <w:tab/>
        <w:t>The Steering Committee shall have a minimum of 02 meetings in one academic session and the notice for the meeting of this Committee shall ordinarily be issued atleast 15 days before the day fixed for the meeting.</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(c)</w:t>
      </w:r>
      <w:r w:rsidRPr="00683FBA">
        <w:rPr>
          <w:rFonts w:ascii="Times New Roman" w:hAnsi="Times New Roman" w:cs="Times New Roman"/>
          <w:sz w:val="24"/>
          <w:szCs w:val="24"/>
        </w:rPr>
        <w:tab/>
        <w:t>The meeting of the Centre Research Committee shall be held as per the requirement of the concerned Centre but it must meet atleast twice in an year with a prior notice, which shall ordinarily be issued atleast 10 days before the day fixed for the meeting.</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r>
      <w:proofErr w:type="gramStart"/>
      <w:r w:rsidRPr="00683FBA">
        <w:rPr>
          <w:rFonts w:ascii="Times New Roman" w:hAnsi="Times New Roman" w:cs="Times New Roman"/>
          <w:sz w:val="24"/>
          <w:szCs w:val="24"/>
        </w:rPr>
        <w:t>Note :</w:t>
      </w:r>
      <w:proofErr w:type="gramEnd"/>
      <w:r w:rsidRPr="00683FBA">
        <w:rPr>
          <w:rFonts w:ascii="Times New Roman" w:hAnsi="Times New Roman" w:cs="Times New Roman"/>
          <w:sz w:val="24"/>
          <w:szCs w:val="24"/>
        </w:rPr>
        <w:t xml:space="preserve"> However, an emergent meeting/s of the Faculty Committee, Steering Committee and Centre Research Committee can be called on a shorter notice for a prior approval from the Vice-Chancellor of the University.</w:t>
      </w:r>
    </w:p>
    <w:p w:rsidR="00CB694F" w:rsidRPr="00683FBA" w:rsidRDefault="00CB694F" w:rsidP="00CB694F">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8.</w:t>
      </w:r>
      <w:r w:rsidRPr="00683FBA">
        <w:rPr>
          <w:rFonts w:ascii="Times New Roman" w:hAnsi="Times New Roman" w:cs="Times New Roman"/>
          <w:b/>
          <w:sz w:val="24"/>
          <w:szCs w:val="24"/>
        </w:rPr>
        <w:tab/>
        <w:t>Quorum</w:t>
      </w:r>
    </w:p>
    <w:p w:rsidR="00CB694F" w:rsidRPr="00683FBA" w:rsidRDefault="00CB694F" w:rsidP="00CB694F">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ab/>
        <w:t>The quorum for the meetings of Faculty Committee, Steering Committee and Centre Research and Consultancy Committee shall be 1/3 of its total number.</w:t>
      </w:r>
    </w:p>
    <w:p w:rsidR="00CB694F" w:rsidRPr="00683FBA" w:rsidRDefault="00CB694F" w:rsidP="00CB694F">
      <w:pPr>
        <w:spacing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9.</w:t>
      </w:r>
      <w:r w:rsidRPr="00683FBA">
        <w:rPr>
          <w:rFonts w:ascii="Times New Roman" w:hAnsi="Times New Roman" w:cs="Times New Roman"/>
          <w:sz w:val="24"/>
          <w:szCs w:val="24"/>
        </w:rPr>
        <w:tab/>
        <w:t xml:space="preserve">Notwithstanding anything stated in this Ordinance, for any unforeseen issues arising, and not covered by this Ordinance, or in the event of differences of interpretation, the Vice-Chancellor shall take a decision.  However, he may obtain the opinion/ advice of a Committee consisting of any or all the Deans of the Schools.  The decision of the Vice Chancellor shall be final.  </w:t>
      </w:r>
    </w:p>
    <w:p w:rsidR="00CB694F" w:rsidRPr="00683FBA" w:rsidRDefault="00CB694F" w:rsidP="00CB694F">
      <w:pPr>
        <w:spacing w:line="240" w:lineRule="auto"/>
        <w:ind w:left="709"/>
        <w:jc w:val="both"/>
        <w:rPr>
          <w:rFonts w:ascii="Times New Roman" w:hAnsi="Times New Roman" w:cs="Times New Roman"/>
          <w:sz w:val="24"/>
          <w:szCs w:val="24"/>
        </w:rPr>
      </w:pPr>
      <w:r w:rsidRPr="00683FBA">
        <w:rPr>
          <w:rFonts w:ascii="Times New Roman" w:hAnsi="Times New Roman" w:cs="Times New Roman"/>
          <w:sz w:val="24"/>
          <w:szCs w:val="24"/>
        </w:rPr>
        <w:t>The Ordinance 35 relating to ‘Centres of Excellence’ shall come into force w.e.f. the date of approval of the Board of Management, i.e., 29.11.2011.</w:t>
      </w:r>
    </w:p>
    <w:p w:rsidR="00CB694F" w:rsidRPr="00683FBA" w:rsidRDefault="00CB694F" w:rsidP="00CB694F">
      <w:pPr>
        <w:spacing w:line="240" w:lineRule="auto"/>
        <w:rPr>
          <w:rFonts w:ascii="Times New Roman" w:hAnsi="Times New Roman" w:cs="Times New Roman"/>
          <w:sz w:val="24"/>
          <w:szCs w:val="24"/>
        </w:rPr>
      </w:pPr>
    </w:p>
    <w:p w:rsidR="00CB694F" w:rsidRPr="00683FBA" w:rsidRDefault="00CB694F" w:rsidP="00CB694F">
      <w:pPr>
        <w:spacing w:line="240" w:lineRule="auto"/>
        <w:ind w:firstLine="709"/>
        <w:rPr>
          <w:rFonts w:ascii="Times New Roman" w:hAnsi="Times New Roman" w:cs="Times New Roman"/>
          <w:b/>
          <w:sz w:val="24"/>
          <w:szCs w:val="24"/>
        </w:rPr>
      </w:pPr>
      <w:r w:rsidRPr="00683FBA">
        <w:rPr>
          <w:rFonts w:ascii="Times New Roman" w:eastAsiaTheme="minorHAnsi" w:hAnsi="Times New Roman" w:cs="Times New Roman"/>
          <w:b/>
          <w:sz w:val="24"/>
          <w:szCs w:val="24"/>
          <w:lang w:val="en-US" w:eastAsia="en-US"/>
        </w:rPr>
        <w:t>(To be published in Part-IV, Delhi Gazette Extra Ordinary)</w:t>
      </w:r>
    </w:p>
    <w:p w:rsidR="009639E5" w:rsidRDefault="009639E5"/>
    <w:sectPr w:rsidR="009639E5" w:rsidSect="009479AB">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pgNumType w:start="87"/>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CB69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CB694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CB694F">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CB69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8251"/>
      <w:docPartObj>
        <w:docPartGallery w:val="Page Numbers (Top of Page)"/>
        <w:docPartUnique/>
      </w:docPartObj>
    </w:sdtPr>
    <w:sdtEndPr/>
    <w:sdtContent>
      <w:p w:rsidR="00763C1A" w:rsidRDefault="00CB694F">
        <w:pPr>
          <w:pStyle w:val="Header"/>
          <w:jc w:val="right"/>
        </w:pPr>
        <w:r>
          <w:fldChar w:fldCharType="begin"/>
        </w:r>
        <w:r>
          <w:instrText xml:space="preserve"> PAGE   \* MERGEFORMAT </w:instrText>
        </w:r>
        <w:r>
          <w:fldChar w:fldCharType="separate"/>
        </w:r>
        <w:r>
          <w:rPr>
            <w:noProof/>
          </w:rPr>
          <w:t>87</w:t>
        </w:r>
        <w:r>
          <w:fldChar w:fldCharType="end"/>
        </w:r>
      </w:p>
    </w:sdtContent>
  </w:sdt>
  <w:p w:rsidR="00763C1A" w:rsidRDefault="00CB694F" w:rsidP="008E2E3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C1A" w:rsidRDefault="00CB69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B2856"/>
    <w:multiLevelType w:val="hybridMultilevel"/>
    <w:tmpl w:val="A4922750"/>
    <w:lvl w:ilvl="0" w:tplc="4102431A">
      <w:start w:val="1"/>
      <w:numFmt w:val="lowerRoman"/>
      <w:lvlText w:val="(%1)"/>
      <w:lvlJc w:val="left"/>
      <w:pPr>
        <w:ind w:left="1080" w:hanging="720"/>
      </w:pPr>
      <w:rPr>
        <w:rFonts w:ascii="Arial" w:hAnsi="Arial" w:cs="Arial"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CB694F"/>
    <w:rsid w:val="000411FB"/>
    <w:rsid w:val="000F2B59"/>
    <w:rsid w:val="001311C2"/>
    <w:rsid w:val="001D7A0F"/>
    <w:rsid w:val="00225019"/>
    <w:rsid w:val="00267E04"/>
    <w:rsid w:val="00345781"/>
    <w:rsid w:val="003A6EA6"/>
    <w:rsid w:val="004701AA"/>
    <w:rsid w:val="00511CB8"/>
    <w:rsid w:val="005C7D32"/>
    <w:rsid w:val="009639E5"/>
    <w:rsid w:val="00B45F0D"/>
    <w:rsid w:val="00B61246"/>
    <w:rsid w:val="00C707EC"/>
    <w:rsid w:val="00CB694F"/>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94F"/>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94F"/>
    <w:rPr>
      <w:rFonts w:eastAsiaTheme="minorEastAsia"/>
      <w:lang w:val="en-IN" w:eastAsia="en-IN"/>
    </w:rPr>
  </w:style>
  <w:style w:type="paragraph" w:styleId="Footer">
    <w:name w:val="footer"/>
    <w:basedOn w:val="Normal"/>
    <w:link w:val="FooterChar"/>
    <w:unhideWhenUsed/>
    <w:rsid w:val="00CB694F"/>
    <w:pPr>
      <w:tabs>
        <w:tab w:val="center" w:pos="4513"/>
        <w:tab w:val="right" w:pos="9026"/>
      </w:tabs>
      <w:spacing w:after="0" w:line="240" w:lineRule="auto"/>
    </w:pPr>
  </w:style>
  <w:style w:type="character" w:customStyle="1" w:styleId="FooterChar">
    <w:name w:val="Footer Char"/>
    <w:basedOn w:val="DefaultParagraphFont"/>
    <w:link w:val="Footer"/>
    <w:rsid w:val="00CB694F"/>
    <w:rPr>
      <w:rFonts w:eastAsiaTheme="minorEastAsia"/>
      <w:lang w:val="en-IN" w:eastAsia="en-IN"/>
    </w:rPr>
  </w:style>
  <w:style w:type="paragraph" w:styleId="BodyTextIndent">
    <w:name w:val="Body Text Indent"/>
    <w:basedOn w:val="Normal"/>
    <w:link w:val="BodyTextIndentChar"/>
    <w:rsid w:val="00CB694F"/>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CB694F"/>
    <w:rPr>
      <w:rFonts w:ascii="Times New Roman" w:eastAsia="Times New Roman" w:hAnsi="Times New Roman" w:cs="Times New Roman"/>
      <w:sz w:val="24"/>
      <w:szCs w:val="24"/>
    </w:rPr>
  </w:style>
  <w:style w:type="paragraph" w:styleId="ListParagraph">
    <w:name w:val="List Paragraph"/>
    <w:basedOn w:val="Normal"/>
    <w:uiPriority w:val="34"/>
    <w:qFormat/>
    <w:rsid w:val="00CB694F"/>
    <w:pPr>
      <w:ind w:left="720"/>
      <w:contextualSpacing/>
    </w:pPr>
    <w:rPr>
      <w:rFonts w:ascii="Calibri" w:eastAsia="Calibri" w:hAnsi="Calibri" w:cs="Times New Roman"/>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1675</Words>
  <Characters>9551</Characters>
  <Application>Microsoft Office Word</Application>
  <DocSecurity>0</DocSecurity>
  <Lines>79</Lines>
  <Paragraphs>22</Paragraphs>
  <ScaleCrop>false</ScaleCrop>
  <Company>Hewlett-Packard Company</Company>
  <LinksUpToDate>false</LinksUpToDate>
  <CharactersWithSpaces>11204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2012-09-18T09:50:00Z</dcterms:created>
  <dcterms:modified xsi:type="dcterms:W3CDTF">2012-09-18T09:50:00Z</dcterms:modified>
</cp:coreProperties>
</file>