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3D5059"/>
          <w:sz w:val="48"/>
          <w:szCs w:val="48"/>
        </w:rPr>
        <w:t xml:space="preserve">CBRE GURUGRAM NCR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0857C"/>
          <w:sz w:val="32"/>
          <w:szCs w:val="32"/>
        </w:rPr>
        <w:t xml:space="preserve">Market Intelligence Report — Q1 2026</w:t>
      </w:r>
    </w:p>
    <w:p>
      <w:pPr>
        <w:pBdr>
          <w:bottom w:val="single" w:color="3D5059" w:sz="12" w:space="4"/>
        </w:pBdr>
        <w:spacing w:after="16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Office Leasing  ·  Residential  ·  Vacancy &amp; Rental  ·  Early Warning Signals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3D5059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3D5059"/>
          <w:sz w:val="28"/>
          <w:szCs w:val="28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Gurugram NCR commercial real estate market demonstrated strong momentum entering Q1 2026, underpinned by consistent demand from IT-BPM, GCC, and BFSI sectors. Total office leasing reached 6.2 MSF, a quarterly improvement of +0.4 MSF over Q4 2025. Grade A vacancy continued its compression trend, falling to 11.8% from a high of 14.2% in Q1 2025.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50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50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50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Previous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50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Office Leasing (MSF)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5.8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+0.4 MSF 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Avg Grade A Vacancy (%)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11.8%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12.5%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-0.7% 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Highest Growth Corridor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NH-8 (30%)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NH-8 (28%)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+2pp 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Most Affordable Market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Manesar (84)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Manesar (82)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+2pts 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Capital Inflow (USD Bn)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+1.0 Bn 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Risk Zones (Alert Count)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Change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7941D" w:sz="6"/>
              <w:left w:val="single" w:color="F7941D" w:sz="6"/>
              <w:bottom w:val="single" w:color="CCCCCC" w:sz="1"/>
              <w:right w:val="single" w:color="CCCCCC" w:sz="1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5059"/>
                <w:sz w:val="19"/>
                <w:szCs w:val="19"/>
              </w:rPr>
              <w:t xml:space="preserve">📌 Key Takeaway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NH-8 Corridor is the strongest growth engine at 30% YoY. Noida Expressway and SPR Corridor remain on Watch — elevated supply pipeline is outpacing demand absorption.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3D5059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3D5059"/>
          <w:sz w:val="28"/>
          <w:szCs w:val="28"/>
        </w:rPr>
        <w:t xml:space="preserve">2. Office Leasing Performance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857C"/>
          <w:sz w:val="22"/>
          <w:szCs w:val="22"/>
        </w:rPr>
        <w:t xml:space="preserve">2.1 Quarterly Trend by Corridor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Office leasing activity grew consistently across all four corridors from Q1 2025 through Q1 2026. Cyber City remained the dominant corridor by volume while NH-8 Corridor posted the highest YoY growth rate.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1800"/>
        <w:gridCol w:w="1800"/>
        <w:gridCol w:w="22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Corridor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Leasing (MSF)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YoY Growth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Sector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 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Cyber 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IT-BPM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 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NH-8 Corridor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GCC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 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DLF Cyber 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BFSI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 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Noida Expressway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Engineering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Cyber 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26%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IT-BPM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NH-8 Corridor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GCC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DLF Cyber 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18%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BFSI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Noida Expressway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Engineering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857C"/>
          <w:sz w:val="22"/>
          <w:szCs w:val="22"/>
        </w:rPr>
        <w:t xml:space="preserve">2.2 Key Observations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D5059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Cyber City: </w:t>
      </w:r>
      <w:r>
        <w:rPr>
          <w:rFonts w:ascii="Arial" w:cs="Arial" w:eastAsia="Arial" w:hAnsi="Arial"/>
          <w:sz w:val="20"/>
          <w:szCs w:val="20"/>
        </w:rPr>
        <w:t xml:space="preserve">Cyber City leads in volume at 1.9 MSF but shows slowing momentum (+5.6% QoQ in Q1 2026 vs +14.3% in Q3 2025).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D5059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NH-8 Corridor: </w:t>
      </w:r>
      <w:r>
        <w:rPr>
          <w:rFonts w:ascii="Arial" w:cs="Arial" w:eastAsia="Arial" w:hAnsi="Arial"/>
          <w:sz w:val="20"/>
          <w:szCs w:val="20"/>
        </w:rPr>
        <w:t xml:space="preserve">NH-8 Corridor is the highest growth corridor at 30% YoY, driven by GCC (Global Capability Centre) demand.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D5059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DLF Cyber Hub: </w:t>
      </w:r>
      <w:r>
        <w:rPr>
          <w:rFonts w:ascii="Arial" w:cs="Arial" w:eastAsia="Arial" w:hAnsi="Arial"/>
          <w:sz w:val="20"/>
          <w:szCs w:val="20"/>
        </w:rPr>
        <w:t xml:space="preserve">DLF Cyber Hub accelerated to 18% YoY growth — BFSI sector expansion a primary driver.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D5059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Noida Expressway: </w:t>
      </w:r>
      <w:r>
        <w:rPr>
          <w:rFonts w:ascii="Arial" w:cs="Arial" w:eastAsia="Arial" w:hAnsi="Arial"/>
          <w:sz w:val="20"/>
          <w:szCs w:val="20"/>
        </w:rPr>
        <w:t xml:space="preserve">Noida Expressway strong at 25% YoY but flagged in Early Warning due to supply-demand imbalance.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3D5059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3D5059"/>
          <w:sz w:val="28"/>
          <w:szCs w:val="28"/>
        </w:rPr>
        <w:t xml:space="preserve">3. Vacancy &amp; Rental Analysis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857C"/>
          <w:sz w:val="22"/>
          <w:szCs w:val="22"/>
        </w:rPr>
        <w:t xml:space="preserve">3.1 Vacancy Compression Trend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Grade A Office vacancy declined from 14.2% (Q1 2025) to 11.8% (Q1 2026), a compression of 240 basis points. Retail Mall and Retail High Street followed similar trajectories.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200"/>
        <w:gridCol w:w="1600"/>
        <w:gridCol w:w="2000"/>
        <w:gridCol w:w="20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Quarter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Asset 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Vacancy (%)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Rental (Rs/sqft)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Grade A Office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₹85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Q2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Grade A Office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₹88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Stable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Q3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Grade A Office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13.1%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₹91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Q4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Grade A Office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₹95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Grade A Office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₹98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Retail Mall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7.9%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₹136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Q1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Retail High Street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6.8%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₹107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857C"/>
          <w:sz w:val="22"/>
          <w:szCs w:val="22"/>
        </w:rPr>
        <w:t xml:space="preserve">3.2 Rental Rate Growth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D5059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Office Rents: </w:t>
      </w:r>
      <w:r>
        <w:rPr>
          <w:rFonts w:ascii="Arial" w:cs="Arial" w:eastAsia="Arial" w:hAnsi="Arial"/>
          <w:sz w:val="20"/>
          <w:szCs w:val="20"/>
        </w:rPr>
        <w:t xml:space="preserve">Grade A Office rents rose from ₹85 to ₹98/sqft over 5 quarters — a 15.3% appreciation.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D5059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Retail Malls: </w:t>
      </w:r>
      <w:r>
        <w:rPr>
          <w:rFonts w:ascii="Arial" w:cs="Arial" w:eastAsia="Arial" w:hAnsi="Arial"/>
          <w:sz w:val="20"/>
          <w:szCs w:val="20"/>
        </w:rPr>
        <w:t xml:space="preserve">Retail Mall rents improved from ₹120 to ₹136/sqft, reflecting strong footfall recovery.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D5059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Rental Yield: </w:t>
      </w:r>
      <w:r>
        <w:rPr>
          <w:rFonts w:ascii="Arial" w:cs="Arial" w:eastAsia="Arial" w:hAnsi="Arial"/>
          <w:sz w:val="20"/>
          <w:szCs w:val="20"/>
        </w:rPr>
        <w:t xml:space="preserve">Rental Yield for Grade A Office stands at 13.8%, improving from 12% a year ago.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7941D" w:sz="6"/>
              <w:left w:val="single" w:color="F7941D" w:sz="6"/>
              <w:bottom w:val="single" w:color="CCCCCC" w:sz="1"/>
              <w:right w:val="single" w:color="CCCCCC" w:sz="1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5059"/>
                <w:sz w:val="19"/>
                <w:szCs w:val="19"/>
              </w:rPr>
              <w:t xml:space="preserve">📌 Analyst Note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The consistent QoQ improvement in Performance Signal (Stable → Strong across asset classes) suggests the market has exited its post-pandemic correction phase and entered a structural recovery cycle.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3D5059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3D5059"/>
          <w:sz w:val="28"/>
          <w:szCs w:val="28"/>
        </w:rPr>
        <w:t xml:space="preserve">4. Residential Market Overview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857C"/>
          <w:sz w:val="22"/>
          <w:szCs w:val="22"/>
        </w:rPr>
        <w:t xml:space="preserve">4.1 Price Appreciation by Micro-Market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Residential prices appreciated significantly across all micro-markets. New Gurgaon recorded the highest appreciation at 25.5% YoY, while Manesar remained the most affordable market with an Affordability Index of 84.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2000"/>
        <w:gridCol w:w="1800"/>
        <w:gridCol w:w="1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Micro-Market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Avg Price Q1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Price Apprec. YoY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Afford. Index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Dwarka Expressway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Luxury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₹16,800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20.0%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Manesar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Mid-Segment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₹9,800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15.3%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New Gurgaon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₹13,800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25.5%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 Corridor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Ultra Luxury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₹19,200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20.0%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58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857C"/>
          <w:sz w:val="22"/>
          <w:szCs w:val="22"/>
        </w:rPr>
        <w:t xml:space="preserve">4.2 Demand Score Trend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D5059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Manesar: </w:t>
      </w:r>
      <w:r>
        <w:rPr>
          <w:rFonts w:ascii="Arial" w:cs="Arial" w:eastAsia="Arial" w:hAnsi="Arial"/>
          <w:sz w:val="20"/>
          <w:szCs w:val="20"/>
        </w:rPr>
        <w:t xml:space="preserve">Manesar is experiencing the most significant demand growth — Demand Score increased from 624 (Q1 2025) to 1,260 (Q1 2026), a 102% rise.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D5059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Dwarka Expressway: </w:t>
      </w:r>
      <w:r>
        <w:rPr>
          <w:rFonts w:ascii="Arial" w:cs="Arial" w:eastAsia="Arial" w:hAnsi="Arial"/>
          <w:sz w:val="20"/>
          <w:szCs w:val="20"/>
        </w:rPr>
        <w:t xml:space="preserve">Dwarka Expressway demand surged from 744 to 1,428 over the same period — driven by improved metro connectivity.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D5059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SPR Corridor: </w:t>
      </w:r>
      <w:r>
        <w:rPr>
          <w:rFonts w:ascii="Arial" w:cs="Arial" w:eastAsia="Arial" w:hAnsi="Arial"/>
          <w:sz w:val="20"/>
          <w:szCs w:val="20"/>
        </w:rPr>
        <w:t xml:space="preserve">SPR Corridor shows limited demand (464) vs high average price (₹19,200/sqft) — affordability constraint.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3D5059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3D5059"/>
          <w:sz w:val="28"/>
          <w:szCs w:val="28"/>
        </w:rPr>
        <w:t xml:space="preserve">5. Early Warning Signal Analysis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857C"/>
          <w:sz w:val="22"/>
          <w:szCs w:val="22"/>
        </w:rPr>
        <w:t xml:space="preserve">5.1 Risk Score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Early Warning module flags corridors where supply pipeline is outpacing demand absorption. Two corridors — Noida Expressway and SPR Corridor — are rated Alert (Risk Score 10/10).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1200"/>
        <w:gridCol w:w="1760"/>
        <w:gridCol w:w="1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Corridor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Supply (MSF)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Demand Run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 Signal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Demand-Supply 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 Score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Cyber City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Watch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-200K sqft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4/10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NH-8 Corridor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Healthy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-200K sqft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1/10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DLF Cyber 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Healthy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+100K sqft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2/10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Noida Expressway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-300K sqft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Dwarka Expressway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Watch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-300K sqft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5/10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Manesar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Healthy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+400K sqft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1/10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 Corridor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Alert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-200K sqft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Sohna Road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Watch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-200K sqft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7/10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7941D" w:sz="6"/>
              <w:left w:val="single" w:color="F7941D" w:sz="6"/>
              <w:bottom w:val="single" w:color="CCCCCC" w:sz="1"/>
              <w:right w:val="single" w:color="CCCCCC" w:sz="1"/>
            </w:tcBorders>
            <w:shd w:fill="FFF8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5059"/>
                <w:sz w:val="19"/>
                <w:szCs w:val="19"/>
              </w:rPr>
              <w:t xml:space="preserve">📌 Risk Watch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Noida Expressway and SPR Corridor are rated Alert with Risk Score 10/10. Both show rising vacancy trends with supply pipelines significantly above demand run rates. Recommend monitoring quarterly absorption rates before any new investment commitments in these corridors.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0857C"/>
          <w:sz w:val="22"/>
          <w:szCs w:val="22"/>
        </w:rPr>
        <w:t xml:space="preserve">5.2 Recommended Actions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D5059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 1: </w:t>
      </w:r>
      <w:r>
        <w:rPr>
          <w:rFonts w:ascii="Arial" w:cs="Arial" w:eastAsia="Arial" w:hAnsi="Arial"/>
          <w:sz w:val="20"/>
          <w:szCs w:val="20"/>
        </w:rPr>
        <w:t xml:space="preserve">Prioritise leasing velocity in Noida Expressway — incentive structures may be required.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D5059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 2: </w:t>
      </w:r>
      <w:r>
        <w:rPr>
          <w:rFonts w:ascii="Arial" w:cs="Arial" w:eastAsia="Arial" w:hAnsi="Arial"/>
          <w:sz w:val="20"/>
          <w:szCs w:val="20"/>
        </w:rPr>
        <w:t xml:space="preserve">Flag SPR Corridor for developer advisory — oversupply correction may take 2–3 quarters.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D5059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 3: </w:t>
      </w:r>
      <w:r>
        <w:rPr>
          <w:rFonts w:ascii="Arial" w:cs="Arial" w:eastAsia="Arial" w:hAnsi="Arial"/>
          <w:sz w:val="20"/>
          <w:szCs w:val="20"/>
        </w:rPr>
        <w:t xml:space="preserve">Cyber City and Dwarka Expressway on Watch — schedule quarterly demand-side review.</w:t>
      </w:r>
    </w:p>
    <w:p>
      <w:pPr>
        <w:spacing w:after="40" w:before="40"/>
        <w:ind w:left="360"/>
      </w:pPr>
      <w:r>
        <w:rPr>
          <w:rFonts w:ascii="Arial" w:cs="Arial" w:eastAsia="Arial" w:hAnsi="Arial"/>
          <w:color w:val="3D5059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 4: </w:t>
      </w:r>
      <w:r>
        <w:rPr>
          <w:rFonts w:ascii="Arial" w:cs="Arial" w:eastAsia="Arial" w:hAnsi="Arial"/>
          <w:sz w:val="20"/>
          <w:szCs w:val="20"/>
        </w:rPr>
        <w:t xml:space="preserve">Continue investing in NH-8 and Manesar — both show strong absorption with low risk scores.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3D5059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3D5059"/>
          <w:sz w:val="28"/>
          <w:szCs w:val="28"/>
        </w:rPr>
        <w:t xml:space="preserve">6. Conclusions &amp; Outlook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Gurugram NCR market is in a positive macro cycle driven by GCC expansion, BFSI growth, and infrastructure investment. The following summary captures market direction for Q2 2026: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6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Segment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Outlook Q2 2026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Driver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5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Watch Factor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Office Leasing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Positive 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GCC + IT-BPM demand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Noida Expressway supply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Vacancy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Compressing 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Absorption &gt; Supply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Cyber City pipeline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Rentals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Rising 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Grade A scarcity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Retail High Street 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Residential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Strong 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Luxury + Mid-Seg. demand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SPR affordability gap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Risk 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Alert corridors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Monitor quarterly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3D5059" w:sz="6" w:space="4"/>
        </w:pBdr>
        <w:spacing w:after="40" w:before="80"/>
      </w:pPr>
      <w:r>
        <w:rPr>
          <w:rFonts w:ascii="Arial" w:cs="Arial" w:eastAsia="Arial" w:hAnsi="Arial"/>
          <w:color w:val="777777"/>
          <w:sz w:val="16"/>
          <w:szCs w:val="16"/>
        </w:rPr>
        <w:t xml:space="preserve">Prepared by: Rachit Bhatt  |  Data Analyst  |  Source: CBRE India Q1 2026 &amp; C&amp;W NCR MarketBeat  |  Confidential</w:t>
      </w:r>
    </w:p>
    <w:p>
      <w:r>
        <w:rPr>
          <w:rFonts w:ascii="Arial" w:cs="Arial" w:eastAsia="Arial" w:hAnsi="Arial"/>
          <w:color w:val="777777"/>
          <w:sz w:val="16"/>
          <w:szCs w:val="16"/>
        </w:rPr>
        <w:t xml:space="preserve">CBRE GURUGRAM NCR — Market Intelligence Dashboard v2  |  Q1 2026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2026-06-28T11:59:17.496Z</dcterms:created>
  <dcterms:modified xsi:type="dcterms:W3CDTF">2026-06-28T11:59:17.496Z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