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sz w:val="40"/>
        </w:rPr>
        <w:t>Shiksha Setu: A Measurement-Driven, Local-Retrieval AI Tutoring Platform for Multilingual Indian Education</w:t>
      </w:r>
    </w:p>
    <w:p>
      <w:pPr>
        <w:spacing w:after="40"/>
        <w:jc w:val="center"/>
      </w:pPr>
      <w:r>
        <w:rPr>
          <w:rFonts w:ascii="Times New Roman" w:hAnsi="Times New Roman"/>
          <w:sz w:val="22"/>
        </w:rPr>
        <w:t>Rachit Ranka, Aaditya Saini, Priyanka Devi, Yogesh Kohli and Ruhani Mehta</w:t>
      </w:r>
    </w:p>
    <w:p>
      <w:pPr>
        <w:spacing w:after="40"/>
        <w:jc w:val="center"/>
      </w:pPr>
      <w:r>
        <w:rPr>
          <w:rFonts w:ascii="Times New Roman" w:hAnsi="Times New Roman"/>
          <w:sz w:val="20"/>
        </w:rPr>
        <w:t>Department of Computer Science Engineering, Chandigarh University, Mohali, India</w:t>
      </w:r>
    </w:p>
    <w:p>
      <w:pPr>
        <w:spacing w:after="40"/>
        <w:jc w:val="center"/>
      </w:pPr>
      <w:r>
        <w:rPr>
          <w:rFonts w:ascii="Times New Roman" w:hAnsi="Times New Roman"/>
          <w:sz w:val="20"/>
        </w:rPr>
        <w:t>Email: {rankarachit5, aadityasaini899, pjangra9105, ykohli2005, ruhanimehta019}@gmail.com</w:t>
      </w:r>
    </w:p>
    <w:p>
      <w:pPr>
        <w:spacing w:after="160"/>
      </w:pPr>
    </w:p>
    <w:p>
      <w:pPr>
        <w:spacing w:after="120"/>
      </w:pPr>
      <w:r>
        <w:rPr>
          <w:b/>
          <w:sz w:val="18"/>
        </w:rPr>
        <w:t>Abstract</w:t>
      </w:r>
      <w:r>
        <w:rPr>
          <w:sz w:val="18"/>
        </w:rPr>
        <w:t>—NCERT textbooks exist only in English, Hindi and Urdu, so most Indian students cannot read their own curriculum. Shiksha Setu retrieves from an English corpus for questions asked in eleven languages. Over 77 queries, lexical retrieval succeeds none; embedding recovers 47 and rewriting into English first recovers 66, inside 4 GB.</w:t>
      </w:r>
    </w:p>
    <w:p>
      <w:pPr>
        <w:spacing w:after="200"/>
      </w:pPr>
      <w:r>
        <w:rPr>
          <w:b/>
          <w:sz w:val="18"/>
        </w:rPr>
        <w:t>Index Terms</w:t>
      </w:r>
      <w:r>
        <w:rPr>
          <w:sz w:val="18"/>
        </w:rPr>
        <w:t>—Retrieval-Augmented Generation, Multilingual Education, Cross-Lingual Retrieval, Indian Languages, Curriculum-Aligned Tutoring, NCERT.</w:t>
      </w:r>
    </w:p>
    <w:p>
      <w:pPr>
        <w:spacing w:before="240" w:after="120"/>
        <w:jc w:val="center"/>
      </w:pPr>
      <w:r>
        <w:rPr>
          <w:rFonts w:ascii="Times New Roman" w:hAnsi="Times New Roman"/>
          <w:b/>
          <w:sz w:val="20"/>
        </w:rPr>
        <w:t>I.  Introduction</w:t>
      </w:r>
    </w:p>
    <w:p>
      <w:pPr>
        <w:spacing w:after="0"/>
        <w:ind w:firstLine="0"/>
      </w:pPr>
      <w:r>
        <w:t>India has 1.4 billion people and 22 scheduled languages written in more than a dozen scripts. The National Council of Educational Research and Training (NCERT) publishes the curriculum that governs instruction for the 24.7 crore children enrolled in school, yet its textbooks exist only in English, Hindi and Urdu. A Tamil-speaking student in rural Tamil Nadu, a Marathi-speaking student in Maharashtra and a Bengali-speaking student in West Bengal all study the same curriculum, but none of them can read it in their mother tongue unless a human teacher translates it in real time.</w:t>
      </w:r>
    </w:p>
    <w:p>
      <w:pPr>
        <w:spacing w:after="0"/>
        <w:ind w:firstLine="0"/>
      </w:pPr>
      <w:r>
        <w:t>Artificial intelligence can bridge that gap, and the dominant approach is a cloud-hosted large language model answering from its own training. That approach introduces three structural failures for Indian education. It requires continuous connectivity, which rural schools do not have. It operates primarily in English, which most of its users do not read. And it answers from whatever the model absorbed during training rather than from the curriculum the student is examined on.</w:t>
      </w:r>
    </w:p>
    <w:p>
      <w:pPr>
        <w:spacing w:after="0"/>
        <w:ind w:firstLine="0"/>
      </w:pPr>
      <w:r>
        <w:t>This paper presents Shiksha Setu, a tutoring platform in which the corpus, the embeddings over it and the whole of retrieval run on the user's own machine, and only generation is a hosted call. The paper is explicit about which half is which and does not claim to be offline. Every number reported was produced by a script committed with the system, run against a recorded corpus state, on hardware named in the text.</w:t>
      </w:r>
    </w:p>
    <w:p>
      <w:pPr>
        <w:spacing w:before="240" w:after="120"/>
        <w:jc w:val="center"/>
      </w:pPr>
      <w:r>
        <w:rPr>
          <w:rFonts w:ascii="Times New Roman" w:hAnsi="Times New Roman"/>
          <w:b/>
          <w:sz w:val="20"/>
        </w:rPr>
        <w:t>II.  Related Work or Literature Studies</w:t>
      </w:r>
    </w:p>
    <w:p>
      <w:pPr>
        <w:spacing w:after="0"/>
        <w:ind w:firstLine="0"/>
      </w:pPr>
      <w:r>
        <w:t>Lewis et al. introduced retrieval-augmented generation for knowledge-intensive tasks, establishing that grounding a generator in retrieved documents reduces fabrication. Their evaluation is in English over Wikipedia; the question this work asks is what happens when the query and the corpus are in different scripts, which their setting never raises.</w:t>
      </w:r>
    </w:p>
    <w:p>
      <w:pPr>
        <w:spacing w:after="0"/>
        <w:ind w:firstLine="0"/>
      </w:pPr>
      <w:r>
        <w:t>Karpukhin et al. demonstrated dense passage retrieval outperforming BM25 for open-domain question answering. Their comparison is within one language. This work finds the gap is not a matter of degree across scripts: BM25 returns nothing at all, because a Devanagari query shares no tokens with an English index.</w:t>
      </w:r>
    </w:p>
    <w:p>
      <w:pPr>
        <w:spacing w:after="0"/>
        <w:ind w:firstLine="0"/>
      </w:pPr>
      <w:r>
        <w:t>Ma et al. showed that rewriting a query before embedding improves retrieval quality, in English. This work measures the same technique where the rewrite also crosses a script boundary, and finds it is the single largest effect in the pipeline, worth nineteen queries out of 77.</w:t>
      </w:r>
    </w:p>
    <w:p>
      <w:pPr>
        <w:spacing w:after="0"/>
        <w:ind w:firstLine="0"/>
      </w:pPr>
      <w:r>
        <w:t>Chen et al. released BGE-M3, a multilingual embedding model covering over 100 languages in a shared 1024-dimensional space. Its cross-lingual property is what allows a Hindi question to retrieve an English passage without explicit translation, and it is the model this system embeds with. Gala et al. developed IndicTrans2 covering all 22 scheduled Indian languages, and Khanuja et al. trained MuRIL on transliterated Indic text. Both are translation and representation backbones rather than retrieval systems, and neither reports what a curriculum corpus does to retrieval accuracy.</w:t>
      </w:r>
    </w:p>
    <w:p>
      <w:pPr>
        <w:spacing w:after="0"/>
        <w:ind w:firstLine="0"/>
      </w:pPr>
      <w:r>
        <w:t>Nogueira and Cho established cross-encoder re-ranking as the standard answer to imperfect ranking. This work differs by measuring that answer rather than assuming it, and reports that on this corpus the cross-encoder lowers accuracy from 67 to 65 of 77 while requiring memory the target device does not have.</w:t>
      </w:r>
    </w:p>
    <w:p>
      <w:pPr>
        <w:spacing w:after="0"/>
        <w:ind w:firstLine="0"/>
      </w:pPr>
      <w:r>
        <w:t>Malkov and Yashunin proposed the HNSW graph structure used here through the pgvector extension for PostgreSQL, and Micikevicius et al. established the safety of half-precision arithmetic, which is the basis for the memory result in Section XI.</w:t>
      </w:r>
    </w:p>
    <w:p>
      <w:pPr>
        <w:spacing w:before="240" w:after="120"/>
        <w:jc w:val="center"/>
      </w:pPr>
      <w:r>
        <w:rPr>
          <w:rFonts w:ascii="Times New Roman" w:hAnsi="Times New Roman"/>
          <w:b/>
          <w:sz w:val="20"/>
        </w:rPr>
        <w:t>III.  Motivation</w:t>
      </w:r>
    </w:p>
    <w:p>
      <w:pPr>
        <w:spacing w:after="0"/>
        <w:ind w:firstLine="0"/>
      </w:pPr>
      <w:r>
        <w:t>The motivation is a gap that is visible in any Indian classroom outside the English-medium stream. The curriculum is national and uniform; the language of its textbooks is not. A student who cannot read the textbook is dependent on a teacher's translation for every question asked outside class hours, and there is no such teacher at nine at night.</w:t>
      </w:r>
    </w:p>
    <w:p>
      <w:pPr>
        <w:spacing w:after="0"/>
        <w:ind w:firstLine="0"/>
      </w:pPr>
      <w:r>
        <w:t>The technical motivation came from the related work. Cross-lingual embeddings were reported to place semantically equivalent text from different languages near each other, and retrieval-augmented generation was reported to reduce fabrication. Both were established in settings where the query and the corpus share a language. Whether they hold when a Tamil question must reach an English passage was not something the literature answered, and it is the difference between a system that works for Indian students and one that does not.</w:t>
      </w:r>
    </w:p>
    <w:p>
      <w:pPr>
        <w:spacing w:before="240" w:after="120"/>
        <w:jc w:val="center"/>
      </w:pPr>
      <w:r>
        <w:rPr>
          <w:rFonts w:ascii="Times New Roman" w:hAnsi="Times New Roman"/>
          <w:b/>
          <w:sz w:val="20"/>
        </w:rPr>
        <w:t>IV.  Problem Domain</w:t>
      </w:r>
    </w:p>
    <w:p>
      <w:pPr>
        <w:spacing w:after="0"/>
        <w:ind w:firstLine="0"/>
      </w:pPr>
      <w:r>
        <w:t>The domain is cross-lingual information retrieval applied to a fixed, curriculum-aligned corpus, under a device memory constraint.</w:t>
      </w:r>
    </w:p>
    <w:p>
      <w:pPr>
        <w:spacing w:after="0"/>
        <w:ind w:firstLine="0"/>
      </w:pPr>
      <w:r>
        <w:t>Three bodies of technique meet here. Dense retrieval represents text as vectors and searches by geometric proximity rather than word overlap. Cross-lingual representation learning places different languages in one vector space so that proximity survives a change of script. Approximate nearest-neighbour search, here the HNSW graph, makes that search tractable over tens of thousands of passages on ordinary hardware.</w:t>
      </w:r>
    </w:p>
    <w:p>
      <w:pPr>
        <w:spacing w:after="0"/>
        <w:ind w:firstLine="0"/>
      </w:pPr>
      <w:r>
        <w:t>The constraint that shapes the domain is the device. Indian schools run predominantly Windows desktops, and the memory budget this work targets is 4 GB. That budget decides which models can be resident, which is why precision and component choice are treated as measurements in this paper rather than as configuration.</w:t>
      </w:r>
    </w:p>
    <w:p>
      <w:pPr>
        <w:spacing w:before="240" w:after="120"/>
        <w:jc w:val="center"/>
      </w:pPr>
      <w:r>
        <w:rPr>
          <w:rFonts w:ascii="Times New Roman" w:hAnsi="Times New Roman"/>
          <w:b/>
          <w:sz w:val="20"/>
        </w:rPr>
        <w:t>V.  Problem Definition</w:t>
      </w:r>
    </w:p>
    <w:p>
      <w:pPr>
        <w:spacing w:after="0"/>
        <w:ind w:firstLine="0"/>
      </w:pPr>
      <w:r>
        <w:t>Given a question asked in any of eleven Indian languages, and a corpus of NCERT textbooks that exists almost entirely in English, retrieve the passage that answers the question and do so on a machine with 4 GB of memory and no guarantee of connectivity for the retrieval stage.</w:t>
      </w:r>
    </w:p>
    <w:p>
      <w:pPr>
        <w:spacing w:after="0"/>
        <w:ind w:firstLine="0"/>
      </w:pPr>
      <w:r>
        <w:t>The difficulty is that the two halves of the problem pull against each other. Crossing the script boundary reliably suggests a large multilingual model; the memory budget forbids one. Any solution has to establish which components earn their memory, which requires measuring each of them rather than adopting the configuration the literature recommends.</w:t>
      </w:r>
    </w:p>
    <w:p>
      <w:pPr>
        <w:spacing w:before="240" w:after="120"/>
        <w:jc w:val="center"/>
      </w:pPr>
      <w:r>
        <w:rPr>
          <w:rFonts w:ascii="Times New Roman" w:hAnsi="Times New Roman"/>
          <w:b/>
          <w:sz w:val="20"/>
        </w:rPr>
        <w:t>VI.  Statement</w:t>
      </w:r>
    </w:p>
    <w:p>
      <w:pPr>
        <w:spacing w:after="0"/>
        <w:ind w:firstLine="0"/>
      </w:pPr>
      <w:r>
        <w:t>Retrieve curriculum-aligned passages from an English corpus for questions asked in eleven Indian languages, within a 4 GB memory budget, and establish by measurement which components of the retrieval pipeline are responsible for the accuracy obtained.</w:t>
      </w:r>
    </w:p>
    <w:p>
      <w:pPr>
        <w:spacing w:before="240" w:after="120"/>
        <w:jc w:val="center"/>
      </w:pPr>
      <w:r>
        <w:rPr>
          <w:rFonts w:ascii="Times New Roman" w:hAnsi="Times New Roman"/>
          <w:b/>
          <w:sz w:val="20"/>
        </w:rPr>
        <w:t>VII.  Innovative Content</w:t>
      </w:r>
    </w:p>
    <w:p>
      <w:pPr>
        <w:spacing w:after="0"/>
        <w:ind w:firstLine="0"/>
      </w:pPr>
      <w:r>
        <w:t>Against Karpukhin et al., who report dense retrieval outperforming BM25 within a language, this work reports a stronger and different result across scripts. The lexical baseline retrieves correctly for 0 of 77 queries, with a 95% Wilson upper bound of 0.048. It is not weaker at the task; it is structurally incapable of it, because the inverted index has no token in common with the query. That is the argument for carrying a 568 M-parameter embedding model on a small machine, and it is an argument from measurement rather than from preference.</w:t>
      </w:r>
    </w:p>
    <w:p>
      <w:pPr>
        <w:spacing w:after="0"/>
        <w:ind w:firstLine="0"/>
      </w:pPr>
      <w:r>
        <w:t>Against Ma et al., who report query rewriting as an improvement, this work locates where the improvement comes from. Direct embedding retrieves correctly for 47 of 77 and rewriting into English first for 66. The gain of nineteen queries is concentrated on terms the embedding cannot decompose: on photosynthesis, whose name in most of these languages is a compound of morphemes meaning light and joining, direct embedding attends to the constituents, retrieves optics, and scores 2 of 11, while the rewrite recovers 10.</w:t>
      </w:r>
    </w:p>
    <w:p>
      <w:pPr>
        <w:spacing w:after="0"/>
        <w:ind w:firstLine="0"/>
      </w:pPr>
      <w:r>
        <w:t>Against Nogueira and Cho, who establish cross-encoder re-ranking as standard practice, this work reports a negative result obtained by running it. Over the same 77 queries and the same candidate lists, BGE-Reranker-v2-M3 scores 65 of 77 against 67 without it, promoting seven queries and demoting nine. Held resident beside the embedder the pair requested 8.6 GB on an 8 GB machine and drove swap to 12.5 GB. The component is excluded on that evidence.</w:t>
      </w:r>
    </w:p>
    <w:p>
      <w:pPr>
        <w:spacing w:after="0"/>
        <w:ind w:firstLine="0"/>
      </w:pPr>
      <w:r>
        <w:t>A fourth contribution has no counterpart in the retrieval literature because it belongs to the corpus rather than the method. NCERT's older Hindi textbooks are typeset in a legacy font that maps Devanagari glyphs onto ASCII codepoints with no ToUnicode table, so every PDF text extractor returns Latin gibberish that looks like successfully extracted text. Two-thirds of the Hindi curriculum is affected. The pipeline detects and rejects it rather than indexing it.</w:t>
      </w:r>
    </w:p>
    <w:p>
      <w:pPr>
        <w:spacing w:before="240" w:after="120"/>
        <w:jc w:val="center"/>
      </w:pPr>
      <w:r>
        <w:rPr>
          <w:rFonts w:ascii="Times New Roman" w:hAnsi="Times New Roman"/>
          <w:b/>
          <w:sz w:val="20"/>
        </w:rPr>
        <w:t>VIII.  Problem Formulation or Representation or Design</w:t>
      </w:r>
    </w:p>
    <w:p>
      <w:pPr>
        <w:spacing w:after="0"/>
        <w:ind w:firstLine="0"/>
      </w:pPr>
      <w:r>
        <w:t>The system is formulated as an eight-stage pipeline, six stages of which are mandatory for every question. Figure 1 gives the path with measured medians and marks the machine boundary.</w:t>
      </w:r>
    </w:p>
    <w:p>
      <w:pPr>
        <w:spacing w:before="160"/>
        <w:jc w:val="center"/>
      </w:pPr>
      <w:r>
        <w:drawing>
          <wp:inline xmlns:a="http://schemas.openxmlformats.org/drawingml/2006/main" xmlns:pic="http://schemas.openxmlformats.org/drawingml/2006/picture">
            <wp:extent cx="4023360" cy="3226463"/>
            <wp:docPr id="1" name="Picture 1"/>
            <wp:cNvGraphicFramePr>
              <a:graphicFrameLocks noChangeAspect="1"/>
            </wp:cNvGraphicFramePr>
            <a:graphic>
              <a:graphicData uri="http://schemas.openxmlformats.org/drawingml/2006/picture">
                <pic:pic>
                  <pic:nvPicPr>
                    <pic:cNvPr id="0" name="img1.png"/>
                    <pic:cNvPicPr/>
                  </pic:nvPicPr>
                  <pic:blipFill>
                    <a:blip r:embed="rId9"/>
                    <a:stretch>
                      <a:fillRect/>
                    </a:stretch>
                  </pic:blipFill>
                  <pic:spPr>
                    <a:xfrm>
                      <a:off x="0" y="0"/>
                      <a:ext cx="4023360" cy="3226463"/>
                    </a:xfrm>
                    <a:prstGeom prst="rect"/>
                  </pic:spPr>
                </pic:pic>
              </a:graphicData>
            </a:graphic>
          </wp:inline>
        </w:drawing>
      </w:r>
    </w:p>
    <w:p>
      <w:pPr>
        <w:spacing w:after="200"/>
        <w:jc w:val="center"/>
      </w:pPr>
      <w:r>
        <w:rPr>
          <w:rFonts w:ascii="Times New Roman" w:hAnsi="Times New Roman"/>
          <w:sz w:val="16"/>
        </w:rPr>
        <w:t>Figure 1.  The mandatory request path. Medians over 15 warm requests, five questions run three times on an 8 GB Apple M1. The dashed line is the machine boundary: the corpus and all retrieval stay left of it.</w:t>
      </w:r>
    </w:p>
    <w:p>
      <w:pPr>
        <w:spacing w:after="0"/>
        <w:ind w:firstLine="0"/>
      </w:pPr>
      <w:r>
        <w:t>Formally, a question q in language L is first mapped by a rewriting function r to an English search string r(q). Both q and r(q) are embedded by the encoder E into the shared space, giving vectors E(q) and E(r(q)) in R^1024. Each vector retrieves its k nearest passages from the index by cosine distance, and the two result sets are pooled by taking the higher similarity for any passage appearing in both. The generator then produces an answer a from the pooled passages P, and a grounding function g(a, P), also a cosine similarity, decides whether the answer was written from those passages or drifted away from them.</w:t>
      </w:r>
    </w:p>
    <w:p>
      <w:pPr>
        <w:spacing w:before="120" w:after="60"/>
      </w:pPr>
      <w:r>
        <w:rPr>
          <w:rFonts w:ascii="Times New Roman" w:hAnsi="Times New Roman"/>
          <w:i/>
          <w:sz w:val="20"/>
        </w:rPr>
        <w:t>A.  Why the pipeline has this shape</w:t>
      </w:r>
    </w:p>
    <w:p>
      <w:pPr>
        <w:spacing w:after="0"/>
        <w:ind w:firstLine="0"/>
      </w:pPr>
      <w:r>
        <w:t>Each stage exists because a measurement required it. Rewriting exists because romanised Hindi retrieves class 1 picture books for a class 10 chemistry question: the embedding attends to surface form. Pooling exists because the two arms fail on different inputs. The grounding check exists because a fluent answer that has drifted from its source is indistinguishable from a correct one without a numerical test.</w:t>
      </w:r>
    </w:p>
    <w:p>
      <w:pPr>
        <w:spacing w:before="120" w:after="60"/>
      </w:pPr>
      <w:r>
        <w:rPr>
          <w:rFonts w:ascii="Times New Roman" w:hAnsi="Times New Roman"/>
          <w:i/>
          <w:sz w:val="20"/>
        </w:rPr>
        <w:t>B.  The persistence layer</w:t>
      </w:r>
    </w:p>
    <w:p>
      <w:pPr>
        <w:spacing w:after="0"/>
        <w:ind w:firstLine="0"/>
      </w:pPr>
      <w:r>
        <w:t>Passages and their embeddings are stored in PostgreSQL 17 with the pgvector extension, indexed with HNSW using cosine distance, m = 16 and ef_construction = 64. An earlier migration stored embeddings as a double precision array where the vector type was required, which made index creation impossible and left every search falling back to a sequential scan over all 43,621 rows at 1,389 ms. With the index used, the same search takes 62 ms and returns the identical top passage.</w:t>
      </w:r>
    </w:p>
    <w:p>
      <w:pPr>
        <w:spacing w:before="240" w:after="120"/>
        <w:jc w:val="center"/>
      </w:pPr>
      <w:r>
        <w:rPr>
          <w:rFonts w:ascii="Times New Roman" w:hAnsi="Times New Roman"/>
          <w:b/>
          <w:sz w:val="20"/>
        </w:rPr>
        <w:t>IX.  Solution Methodologies or Problem Solving</w:t>
      </w:r>
    </w:p>
    <w:p>
      <w:pPr>
        <w:spacing w:before="120" w:after="60"/>
      </w:pPr>
      <w:r>
        <w:rPr>
          <w:rFonts w:ascii="Times New Roman" w:hAnsi="Times New Roman"/>
          <w:i/>
          <w:sz w:val="20"/>
        </w:rPr>
        <w:t>A.  Corpus construction</w:t>
      </w:r>
    </w:p>
    <w:p>
      <w:pPr>
        <w:spacing w:after="0"/>
        <w:ind w:firstLine="0"/>
      </w:pPr>
      <w:r>
        <w:t>NCERT encodes every textbook with a five-character code from which the subject letters are not algorithmically derivable, so the catalog is scraped from the publisher's textbook picker and cached. The complete catalog contains 559 textbooks: 209 in English, 191 in Hindi and 159 in Urdu. The platform teaches from a deliberate subset of 263 books.</w:t>
      </w:r>
    </w:p>
    <w:p>
      <w:pPr>
        <w:spacing w:after="0"/>
        <w:ind w:firstLine="0"/>
      </w:pPr>
      <w:r>
        <w:t>Each book passes through five stages: archive download, per-chapter PDF extraction, text cleanup, semantic chunking at 1,200 characters with 200 characters of overlap and a preference for paragraph boundaries, embedding at half precision, and storage. Each book commits as one database transaction so that a failure leaves no partial book behind.</w:t>
      </w:r>
    </w:p>
    <w:p>
      <w:pPr>
        <w:spacing w:after="0"/>
        <w:ind w:firstLine="0"/>
      </w:pPr>
      <w:r>
        <w:t>A book that cannot be ingested writes a marker naming the reason, so the shortfall can be audited rather than assumed. That mechanism found two books whose loss was not the source material's: one run exhausted the disk, and one chunk embedded to a non-finite vector, which the single-transaction commit turned into a whole rolled-back book.</w:t>
      </w:r>
    </w:p>
    <w:p>
      <w:pPr>
        <w:spacing w:before="120" w:after="60"/>
      </w:pPr>
      <w:r>
        <w:rPr>
          <w:rFonts w:ascii="Times New Roman" w:hAnsi="Times New Roman"/>
          <w:i/>
          <w:sz w:val="20"/>
        </w:rPr>
        <w:t>B.  Detecting a corpus defect that reports success</w:t>
      </w:r>
    </w:p>
    <w:p>
      <w:pPr>
        <w:spacing w:after="0"/>
        <w:ind w:firstLine="0"/>
      </w:pPr>
      <w:r>
        <w:t>Two-thirds of the Hindi curriculum is unreadable by every PDF text extractor tested. The older Hindi textbooks are typeset in Walkman-Chanakya 905, a legacy font mapping Devanagari glyphs onto ASCII codepoints with no ToUnicode table, so extraction returns raw byte values rather than failing. Of 41 Devanagari-only books analysed, 27 are affected and yield 0.0% Devanagari characters, while the 14 typeset in Unicode fonts yield 97.9 to 100%. The detector measures the proportion of Devanagari codepoints and rejects a book that reports text but no script.</w:t>
      </w:r>
    </w:p>
    <w:p>
      <w:pPr>
        <w:spacing w:before="120" w:after="60"/>
      </w:pPr>
      <w:r>
        <w:rPr>
          <w:rFonts w:ascii="Times New Roman" w:hAnsi="Times New Roman"/>
          <w:i/>
          <w:sz w:val="20"/>
        </w:rPr>
        <w:t>C.  Cross-lingual retrieval</w:t>
      </w:r>
    </w:p>
    <w:p>
      <w:pPr>
        <w:spacing w:after="0"/>
        <w:ind w:firstLine="0"/>
      </w:pPr>
      <w:r>
        <w:t>A question is rewritten into an English search query by the language model before embedding, and both the original and the rewritten form are embedded and searched. The two result sets are pooled by best score. Rewriting runs for every question rather than only ones that look non-English, because deciding what looks romanised is guesswork and the call is under a second.</w:t>
      </w:r>
    </w:p>
    <w:p>
      <w:pPr>
        <w:spacing w:before="120" w:after="60"/>
      </w:pPr>
      <w:r>
        <w:rPr>
          <w:rFonts w:ascii="Times New Roman" w:hAnsi="Times New Roman"/>
          <w:i/>
          <w:sz w:val="20"/>
        </w:rPr>
        <w:t>D.  Grounding</w:t>
      </w:r>
    </w:p>
    <w:p>
      <w:pPr>
        <w:spacing w:after="0"/>
        <w:ind w:firstLine="0"/>
      </w:pPr>
      <w:r>
        <w:t>After generation, the answer and the concatenated retrieved passages are embedded and compared by cosine similarity. The threshold was originally set at 0.55 from four hand-verified examples. Calibrating it on 256 constructed pairs moved it to 0.715.</w:t>
      </w:r>
    </w:p>
    <w:p>
      <w:pPr>
        <w:spacing w:before="240" w:after="120"/>
        <w:jc w:val="center"/>
      </w:pPr>
      <w:r>
        <w:rPr>
          <w:rFonts w:ascii="Times New Roman" w:hAnsi="Times New Roman"/>
          <w:b/>
          <w:sz w:val="20"/>
        </w:rPr>
        <w:t>X.  Results and Sensitivity Analysis</w:t>
      </w:r>
    </w:p>
    <w:p>
      <w:pPr>
        <w:spacing w:after="0"/>
        <w:ind w:firstLine="0"/>
      </w:pPr>
      <w:r>
        <w:t>Retrieval was evaluated over 77 queries: seven topics in each of the eleven supported Indian languages, against the English-medium portion of the corpus. Holding the topic constant across languages makes language the only variable that moves within a topic. The topics span mathematics, physics, chemistry, biology and geography and were fixed before any was run, each required to have enough English material to answer it. A query counts as correct only when the top passage is on topic.</w:t>
      </w:r>
    </w:p>
    <w:p>
      <w:pPr>
        <w:spacing w:before="160"/>
        <w:jc w:val="center"/>
      </w:pPr>
      <w:r>
        <w:rPr>
          <w:b/>
          <w:sz w:val="16"/>
        </w:rPr>
        <w:t>Table III.  Retrieval over 77 queries: seven topics in each of eleven Indian languages, against an English-medium corpus. A query counts as correct only when the top passage is on topic.</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pPr>
              <w:spacing w:after="0"/>
            </w:pPr>
            <w:r>
              <w:rPr>
                <w:rFonts w:ascii="Times New Roman" w:hAnsi="Times New Roman"/>
                <w:b/>
                <w:sz w:val="16"/>
              </w:rPr>
              <w:t>Configuration</w:t>
            </w:r>
          </w:p>
        </w:tc>
        <w:tc>
          <w:tcPr>
            <w:tcW w:type="dxa" w:w="2197"/>
          </w:tcPr>
          <w:p>
            <w:pPr>
              <w:spacing w:after="0"/>
            </w:pPr>
            <w:r>
              <w:rPr>
                <w:rFonts w:ascii="Times New Roman" w:hAnsi="Times New Roman"/>
                <w:b/>
                <w:sz w:val="16"/>
              </w:rPr>
              <w:t>Correct at rank 1</w:t>
            </w:r>
          </w:p>
        </w:tc>
        <w:tc>
          <w:tcPr>
            <w:tcW w:type="dxa" w:w="2197"/>
          </w:tcPr>
          <w:p>
            <w:pPr>
              <w:spacing w:after="0"/>
            </w:pPr>
            <w:r>
              <w:rPr>
                <w:rFonts w:ascii="Times New Roman" w:hAnsi="Times New Roman"/>
                <w:b/>
                <w:sz w:val="16"/>
              </w:rPr>
              <w:t>Percent</w:t>
            </w:r>
          </w:p>
        </w:tc>
        <w:tc>
          <w:tcPr>
            <w:tcW w:type="dxa" w:w="2197"/>
          </w:tcPr>
          <w:p>
            <w:pPr>
              <w:spacing w:after="0"/>
            </w:pPr>
            <w:r>
              <w:rPr>
                <w:rFonts w:ascii="Times New Roman" w:hAnsi="Times New Roman"/>
                <w:b/>
                <w:sz w:val="16"/>
              </w:rPr>
              <w:t>95% Wilson interval</w:t>
            </w:r>
          </w:p>
        </w:tc>
      </w:tr>
      <w:tr>
        <w:tc>
          <w:tcPr>
            <w:tcW w:type="dxa" w:w="2197"/>
          </w:tcPr>
          <w:p>
            <w:pPr>
              <w:spacing w:after="0"/>
            </w:pPr>
            <w:r>
              <w:rPr>
                <w:rFonts w:ascii="Times New Roman" w:hAnsi="Times New Roman"/>
                <w:b w:val="0"/>
                <w:sz w:val="16"/>
              </w:rPr>
              <w:t>Lexical baseline (BM25)</w:t>
            </w:r>
          </w:p>
        </w:tc>
        <w:tc>
          <w:tcPr>
            <w:tcW w:type="dxa" w:w="2197"/>
          </w:tcPr>
          <w:p>
            <w:pPr>
              <w:spacing w:after="0"/>
            </w:pPr>
            <w:r>
              <w:rPr>
                <w:rFonts w:ascii="Times New Roman" w:hAnsi="Times New Roman"/>
                <w:b w:val="0"/>
                <w:sz w:val="16"/>
              </w:rPr>
              <w:t>0 of 77</w:t>
            </w:r>
          </w:p>
        </w:tc>
        <w:tc>
          <w:tcPr>
            <w:tcW w:type="dxa" w:w="2197"/>
          </w:tcPr>
          <w:p>
            <w:pPr>
              <w:spacing w:after="0"/>
            </w:pPr>
            <w:r>
              <w:rPr>
                <w:rFonts w:ascii="Times New Roman" w:hAnsi="Times New Roman"/>
                <w:b w:val="0"/>
                <w:sz w:val="16"/>
              </w:rPr>
              <w:t>0</w:t>
            </w:r>
          </w:p>
        </w:tc>
        <w:tc>
          <w:tcPr>
            <w:tcW w:type="dxa" w:w="2197"/>
          </w:tcPr>
          <w:p>
            <w:pPr>
              <w:spacing w:after="0"/>
            </w:pPr>
            <w:r>
              <w:rPr>
                <w:rFonts w:ascii="Times New Roman" w:hAnsi="Times New Roman"/>
                <w:b w:val="0"/>
                <w:sz w:val="16"/>
              </w:rPr>
              <w:t>[0.000, 0.048]</w:t>
            </w:r>
          </w:p>
        </w:tc>
      </w:tr>
      <w:tr>
        <w:tc>
          <w:tcPr>
            <w:tcW w:type="dxa" w:w="2197"/>
          </w:tcPr>
          <w:p>
            <w:pPr>
              <w:spacing w:after="0"/>
            </w:pPr>
            <w:r>
              <w:rPr>
                <w:rFonts w:ascii="Times New Roman" w:hAnsi="Times New Roman"/>
                <w:b w:val="0"/>
                <w:sz w:val="16"/>
              </w:rPr>
              <w:t>BM25 with rewriting</w:t>
            </w:r>
          </w:p>
        </w:tc>
        <w:tc>
          <w:tcPr>
            <w:tcW w:type="dxa" w:w="2197"/>
          </w:tcPr>
          <w:p>
            <w:pPr>
              <w:spacing w:after="0"/>
            </w:pPr>
            <w:r>
              <w:rPr>
                <w:rFonts w:ascii="Times New Roman" w:hAnsi="Times New Roman"/>
                <w:b w:val="0"/>
                <w:sz w:val="16"/>
              </w:rPr>
              <w:t>42 of 77</w:t>
            </w:r>
          </w:p>
        </w:tc>
        <w:tc>
          <w:tcPr>
            <w:tcW w:type="dxa" w:w="2197"/>
          </w:tcPr>
          <w:p>
            <w:pPr>
              <w:spacing w:after="0"/>
            </w:pPr>
            <w:r>
              <w:rPr>
                <w:rFonts w:ascii="Times New Roman" w:hAnsi="Times New Roman"/>
                <w:b w:val="0"/>
                <w:sz w:val="16"/>
              </w:rPr>
              <w:t>55</w:t>
            </w:r>
          </w:p>
        </w:tc>
        <w:tc>
          <w:tcPr>
            <w:tcW w:type="dxa" w:w="2197"/>
          </w:tcPr>
          <w:p>
            <w:pPr>
              <w:spacing w:after="0"/>
            </w:pPr>
            <w:r>
              <w:rPr>
                <w:rFonts w:ascii="Times New Roman" w:hAnsi="Times New Roman"/>
                <w:b w:val="0"/>
                <w:sz w:val="16"/>
              </w:rPr>
              <w:t>[0.435, 0.652]</w:t>
            </w:r>
          </w:p>
        </w:tc>
      </w:tr>
      <w:tr>
        <w:tc>
          <w:tcPr>
            <w:tcW w:type="dxa" w:w="2197"/>
          </w:tcPr>
          <w:p>
            <w:pPr>
              <w:spacing w:after="0"/>
            </w:pPr>
            <w:r>
              <w:rPr>
                <w:rFonts w:ascii="Times New Roman" w:hAnsi="Times New Roman"/>
                <w:b w:val="0"/>
                <w:sz w:val="16"/>
              </w:rPr>
              <w:t>Dense embedding</w:t>
            </w:r>
          </w:p>
        </w:tc>
        <w:tc>
          <w:tcPr>
            <w:tcW w:type="dxa" w:w="2197"/>
          </w:tcPr>
          <w:p>
            <w:pPr>
              <w:spacing w:after="0"/>
            </w:pPr>
            <w:r>
              <w:rPr>
                <w:rFonts w:ascii="Times New Roman" w:hAnsi="Times New Roman"/>
                <w:b w:val="0"/>
                <w:sz w:val="16"/>
              </w:rPr>
              <w:t>47 of 77</w:t>
            </w:r>
          </w:p>
        </w:tc>
        <w:tc>
          <w:tcPr>
            <w:tcW w:type="dxa" w:w="2197"/>
          </w:tcPr>
          <w:p>
            <w:pPr>
              <w:spacing w:after="0"/>
            </w:pPr>
            <w:r>
              <w:rPr>
                <w:rFonts w:ascii="Times New Roman" w:hAnsi="Times New Roman"/>
                <w:b w:val="0"/>
                <w:sz w:val="16"/>
              </w:rPr>
              <w:t>61</w:t>
            </w:r>
          </w:p>
        </w:tc>
        <w:tc>
          <w:tcPr>
            <w:tcW w:type="dxa" w:w="2197"/>
          </w:tcPr>
          <w:p>
            <w:pPr>
              <w:spacing w:after="0"/>
            </w:pPr>
            <w:r>
              <w:rPr>
                <w:rFonts w:ascii="Times New Roman" w:hAnsi="Times New Roman"/>
                <w:b w:val="0"/>
                <w:sz w:val="16"/>
              </w:rPr>
              <w:t>[0.499, 0.712]</w:t>
            </w:r>
          </w:p>
        </w:tc>
      </w:tr>
      <w:tr>
        <w:tc>
          <w:tcPr>
            <w:tcW w:type="dxa" w:w="2197"/>
          </w:tcPr>
          <w:p>
            <w:pPr>
              <w:spacing w:after="0"/>
            </w:pPr>
            <w:r>
              <w:rPr>
                <w:rFonts w:ascii="Times New Roman" w:hAnsi="Times New Roman"/>
                <w:b w:val="0"/>
                <w:sz w:val="16"/>
              </w:rPr>
              <w:t>Dense with rewriting</w:t>
            </w:r>
          </w:p>
        </w:tc>
        <w:tc>
          <w:tcPr>
            <w:tcW w:type="dxa" w:w="2197"/>
          </w:tcPr>
          <w:p>
            <w:pPr>
              <w:spacing w:after="0"/>
            </w:pPr>
            <w:r>
              <w:rPr>
                <w:rFonts w:ascii="Times New Roman" w:hAnsi="Times New Roman"/>
                <w:b w:val="0"/>
                <w:sz w:val="16"/>
              </w:rPr>
              <w:t>66 of 77</w:t>
            </w:r>
          </w:p>
        </w:tc>
        <w:tc>
          <w:tcPr>
            <w:tcW w:type="dxa" w:w="2197"/>
          </w:tcPr>
          <w:p>
            <w:pPr>
              <w:spacing w:after="0"/>
            </w:pPr>
            <w:r>
              <w:rPr>
                <w:rFonts w:ascii="Times New Roman" w:hAnsi="Times New Roman"/>
                <w:b w:val="0"/>
                <w:sz w:val="16"/>
              </w:rPr>
              <w:t>86</w:t>
            </w:r>
          </w:p>
        </w:tc>
        <w:tc>
          <w:tcPr>
            <w:tcW w:type="dxa" w:w="2197"/>
          </w:tcPr>
          <w:p>
            <w:pPr>
              <w:spacing w:after="0"/>
            </w:pPr>
            <w:r>
              <w:rPr>
                <w:rFonts w:ascii="Times New Roman" w:hAnsi="Times New Roman"/>
                <w:b w:val="0"/>
                <w:sz w:val="16"/>
              </w:rPr>
              <w:t>[0.762, 0.918]</w:t>
            </w:r>
          </w:p>
        </w:tc>
      </w:tr>
      <w:tr>
        <w:tc>
          <w:tcPr>
            <w:tcW w:type="dxa" w:w="2197"/>
          </w:tcPr>
          <w:p>
            <w:pPr>
              <w:spacing w:after="0"/>
            </w:pPr>
            <w:r>
              <w:rPr>
                <w:rFonts w:ascii="Times New Roman" w:hAnsi="Times New Roman"/>
                <w:b w:val="0"/>
                <w:sz w:val="16"/>
              </w:rPr>
              <w:t>Pooled (deployed)</w:t>
            </w:r>
          </w:p>
        </w:tc>
        <w:tc>
          <w:tcPr>
            <w:tcW w:type="dxa" w:w="2197"/>
          </w:tcPr>
          <w:p>
            <w:pPr>
              <w:spacing w:after="0"/>
            </w:pPr>
            <w:r>
              <w:rPr>
                <w:rFonts w:ascii="Times New Roman" w:hAnsi="Times New Roman"/>
                <w:b w:val="0"/>
                <w:sz w:val="16"/>
              </w:rPr>
              <w:t>67 of 77</w:t>
            </w:r>
          </w:p>
        </w:tc>
        <w:tc>
          <w:tcPr>
            <w:tcW w:type="dxa" w:w="2197"/>
          </w:tcPr>
          <w:p>
            <w:pPr>
              <w:spacing w:after="0"/>
            </w:pPr>
            <w:r>
              <w:rPr>
                <w:rFonts w:ascii="Times New Roman" w:hAnsi="Times New Roman"/>
                <w:b w:val="0"/>
                <w:sz w:val="16"/>
              </w:rPr>
              <w:t>87</w:t>
            </w:r>
          </w:p>
        </w:tc>
        <w:tc>
          <w:tcPr>
            <w:tcW w:type="dxa" w:w="2197"/>
          </w:tcPr>
          <w:p>
            <w:pPr>
              <w:spacing w:after="0"/>
            </w:pPr>
            <w:r>
              <w:rPr>
                <w:rFonts w:ascii="Times New Roman" w:hAnsi="Times New Roman"/>
                <w:b w:val="0"/>
                <w:sz w:val="16"/>
              </w:rPr>
              <w:t>[0.777, 0.928]</w:t>
            </w:r>
          </w:p>
        </w:tc>
      </w:tr>
    </w:tbl>
    <w:p>
      <w:pPr>
        <w:spacing w:after="120"/>
      </w:pPr>
    </w:p>
    <w:p>
      <w:pPr>
        <w:spacing w:before="160"/>
        <w:jc w:val="center"/>
      </w:pPr>
      <w:r>
        <w:drawing>
          <wp:inline xmlns:a="http://schemas.openxmlformats.org/drawingml/2006/main" xmlns:pic="http://schemas.openxmlformats.org/drawingml/2006/picture">
            <wp:extent cx="4023360" cy="1008459"/>
            <wp:docPr id="2" name="Picture 2"/>
            <wp:cNvGraphicFramePr>
              <a:graphicFrameLocks noChangeAspect="1"/>
            </wp:cNvGraphicFramePr>
            <a:graphic>
              <a:graphicData uri="http://schemas.openxmlformats.org/drawingml/2006/picture">
                <pic:pic>
                  <pic:nvPicPr>
                    <pic:cNvPr id="0" name="img2.png"/>
                    <pic:cNvPicPr/>
                  </pic:nvPicPr>
                  <pic:blipFill>
                    <a:blip r:embed="rId10"/>
                    <a:stretch>
                      <a:fillRect/>
                    </a:stretch>
                  </pic:blipFill>
                  <pic:spPr>
                    <a:xfrm>
                      <a:off x="0" y="0"/>
                      <a:ext cx="4023360" cy="1008459"/>
                    </a:xfrm>
                    <a:prstGeom prst="rect"/>
                  </pic:spPr>
                </pic:pic>
              </a:graphicData>
            </a:graphic>
          </wp:inline>
        </w:drawing>
      </w:r>
    </w:p>
    <w:p>
      <w:pPr>
        <w:spacing w:after="200"/>
        <w:jc w:val="center"/>
      </w:pPr>
      <w:r>
        <w:rPr>
          <w:rFonts w:ascii="Times New Roman" w:hAnsi="Times New Roman"/>
          <w:sz w:val="16"/>
        </w:rPr>
        <w:t>Figure 2.  The five retrieval configurations over 77 queries with 95% Wilson score intervals: BM25 0/77, BM25 with rewriting 42/77, dense 47/77, dense with rewriting 66/77, and the deployed pooling of both 67/77.</w:t>
      </w:r>
    </w:p>
    <w:p>
      <w:pPr>
        <w:spacing w:after="0"/>
        <w:ind w:firstLine="0"/>
      </w:pPr>
      <w:r>
        <w:t>The lexical baseline retrieves nothing at all for any of the 77 queries. Given an English query from the rewrite it becomes viable at once, at 55%, which locates the difficulty precisely: the barrier is the script, not the vocabulary. Rewriting before embedding gains nineteen queries over embedding directly, which is the largest effect measured in this work. Pooling the two scores one query above rewriting alone, with intervals that almost coincide, and is reported as what the system deploys rather than as a configuration shown to be better.</w:t>
      </w:r>
    </w:p>
    <w:p>
      <w:pPr>
        <w:spacing w:before="160"/>
        <w:jc w:val="center"/>
      </w:pPr>
      <w:r>
        <w:drawing>
          <wp:inline xmlns:a="http://schemas.openxmlformats.org/drawingml/2006/main" xmlns:pic="http://schemas.openxmlformats.org/drawingml/2006/picture">
            <wp:extent cx="4023360" cy="3422237"/>
            <wp:docPr id="3" name="Picture 3"/>
            <wp:cNvGraphicFramePr>
              <a:graphicFrameLocks noChangeAspect="1"/>
            </wp:cNvGraphicFramePr>
            <a:graphic>
              <a:graphicData uri="http://schemas.openxmlformats.org/drawingml/2006/picture">
                <pic:pic>
                  <pic:nvPicPr>
                    <pic:cNvPr id="0" name="img3.png"/>
                    <pic:cNvPicPr/>
                  </pic:nvPicPr>
                  <pic:blipFill>
                    <a:blip r:embed="rId11"/>
                    <a:stretch>
                      <a:fillRect/>
                    </a:stretch>
                  </pic:blipFill>
                  <pic:spPr>
                    <a:xfrm>
                      <a:off x="0" y="0"/>
                      <a:ext cx="4023360" cy="3422237"/>
                    </a:xfrm>
                    <a:prstGeom prst="rect"/>
                  </pic:spPr>
                </pic:pic>
              </a:graphicData>
            </a:graphic>
          </wp:inline>
        </w:drawing>
      </w:r>
    </w:p>
    <w:p>
      <w:pPr>
        <w:spacing w:after="200"/>
        <w:jc w:val="center"/>
      </w:pPr>
      <w:r>
        <w:rPr>
          <w:rFonts w:ascii="Times New Roman" w:hAnsi="Times New Roman"/>
          <w:sz w:val="16"/>
        </w:rPr>
        <w:t>Figure 3.  Mean reciprocal rank of the deployed configuration for each language, averaged over that language's seven topics. Five of the eleven answer all seven at rank one.</w:t>
      </w:r>
    </w:p>
    <w:p>
      <w:pPr>
        <w:spacing w:before="120" w:after="60"/>
      </w:pPr>
      <w:r>
        <w:rPr>
          <w:rFonts w:ascii="Times New Roman" w:hAnsi="Times New Roman"/>
          <w:i/>
          <w:sz w:val="20"/>
        </w:rPr>
        <w:t>A.  What was varied, and what the results are sensitive to</w:t>
      </w:r>
    </w:p>
    <w:p>
      <w:pPr>
        <w:spacing w:after="0"/>
        <w:ind w:firstLine="0"/>
      </w:pPr>
      <w:r>
        <w:t>Three variables were moved deliberately. Language was varied across eleven languages within each topic: the spread of mean reciprocal rank is 0.786 to 1.000, and five of the eleven answer all seven topics at rank one. Topic was varied across seven: the spread there is far wider, from 2 of 11 to 11 of 11 for direct embedding. Pipeline configuration was varied across the five arms of Table III.</w:t>
      </w:r>
    </w:p>
    <w:p>
      <w:pPr>
        <w:spacing w:after="0"/>
        <w:ind w:firstLine="0"/>
      </w:pPr>
      <w:r>
        <w:t>The result is therefore far more sensitive to how a term is morphologically built than to which language asks for it, which is the opposite of what a reader would expect from a multilingual evaluation.</w:t>
      </w:r>
    </w:p>
    <w:p>
      <w:pPr>
        <w:spacing w:before="160"/>
        <w:jc w:val="center"/>
      </w:pPr>
      <w:r>
        <w:rPr>
          <w:b/>
          <w:sz w:val="16"/>
        </w:rPr>
        <w:t>Table IV.  The same 77 queries by topic, showing that how a term is built matters more than which language asks for it.</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pPr>
              <w:spacing w:after="0"/>
            </w:pPr>
            <w:r>
              <w:rPr>
                <w:rFonts w:ascii="Times New Roman" w:hAnsi="Times New Roman"/>
                <w:b/>
                <w:sz w:val="16"/>
              </w:rPr>
              <w:t>Topic</w:t>
            </w:r>
          </w:p>
        </w:tc>
        <w:tc>
          <w:tcPr>
            <w:tcW w:type="dxa" w:w="2197"/>
          </w:tcPr>
          <w:p>
            <w:pPr>
              <w:spacing w:after="0"/>
            </w:pPr>
            <w:r>
              <w:rPr>
                <w:rFonts w:ascii="Times New Roman" w:hAnsi="Times New Roman"/>
                <w:b/>
                <w:sz w:val="16"/>
              </w:rPr>
              <w:t>Dense</w:t>
            </w:r>
          </w:p>
        </w:tc>
        <w:tc>
          <w:tcPr>
            <w:tcW w:type="dxa" w:w="2197"/>
          </w:tcPr>
          <w:p>
            <w:pPr>
              <w:spacing w:after="0"/>
            </w:pPr>
            <w:r>
              <w:rPr>
                <w:rFonts w:ascii="Times New Roman" w:hAnsi="Times New Roman"/>
                <w:b/>
                <w:sz w:val="16"/>
              </w:rPr>
              <w:t>Rewriting</w:t>
            </w:r>
          </w:p>
        </w:tc>
        <w:tc>
          <w:tcPr>
            <w:tcW w:type="dxa" w:w="2197"/>
          </w:tcPr>
          <w:p>
            <w:pPr>
              <w:spacing w:after="0"/>
            </w:pPr>
            <w:r>
              <w:rPr>
                <w:rFonts w:ascii="Times New Roman" w:hAnsi="Times New Roman"/>
                <w:b/>
                <w:sz w:val="16"/>
              </w:rPr>
              <w:t>Pooled</w:t>
            </w:r>
          </w:p>
        </w:tc>
      </w:tr>
      <w:tr>
        <w:tc>
          <w:tcPr>
            <w:tcW w:type="dxa" w:w="2197"/>
          </w:tcPr>
          <w:p>
            <w:pPr>
              <w:spacing w:after="0"/>
            </w:pPr>
            <w:r>
              <w:rPr>
                <w:rFonts w:ascii="Times New Roman" w:hAnsi="Times New Roman"/>
                <w:b w:val="0"/>
                <w:sz w:val="16"/>
              </w:rPr>
              <w:t>Digestion (ordinary vocabulary)</w:t>
            </w:r>
          </w:p>
        </w:tc>
        <w:tc>
          <w:tcPr>
            <w:tcW w:type="dxa" w:w="2197"/>
          </w:tcPr>
          <w:p>
            <w:pPr>
              <w:spacing w:after="0"/>
            </w:pPr>
            <w:r>
              <w:rPr>
                <w:rFonts w:ascii="Times New Roman" w:hAnsi="Times New Roman"/>
                <w:b w:val="0"/>
                <w:sz w:val="16"/>
              </w:rPr>
              <w:t>11/11</w:t>
            </w:r>
          </w:p>
        </w:tc>
        <w:tc>
          <w:tcPr>
            <w:tcW w:type="dxa" w:w="2197"/>
          </w:tcPr>
          <w:p>
            <w:pPr>
              <w:spacing w:after="0"/>
            </w:pPr>
            <w:r>
              <w:rPr>
                <w:rFonts w:ascii="Times New Roman" w:hAnsi="Times New Roman"/>
                <w:b w:val="0"/>
                <w:sz w:val="16"/>
              </w:rPr>
              <w:t>11/11</w:t>
            </w:r>
          </w:p>
        </w:tc>
        <w:tc>
          <w:tcPr>
            <w:tcW w:type="dxa" w:w="2197"/>
          </w:tcPr>
          <w:p>
            <w:pPr>
              <w:spacing w:after="0"/>
            </w:pPr>
            <w:r>
              <w:rPr>
                <w:rFonts w:ascii="Times New Roman" w:hAnsi="Times New Roman"/>
                <w:b w:val="0"/>
                <w:sz w:val="16"/>
              </w:rPr>
              <w:t>11/11</w:t>
            </w:r>
          </w:p>
        </w:tc>
      </w:tr>
      <w:tr>
        <w:tc>
          <w:tcPr>
            <w:tcW w:type="dxa" w:w="2197"/>
          </w:tcPr>
          <w:p>
            <w:pPr>
              <w:spacing w:after="0"/>
            </w:pPr>
            <w:r>
              <w:rPr>
                <w:rFonts w:ascii="Times New Roman" w:hAnsi="Times New Roman"/>
                <w:b w:val="0"/>
                <w:sz w:val="16"/>
              </w:rPr>
              <w:t>Acids and bases</w:t>
            </w:r>
          </w:p>
        </w:tc>
        <w:tc>
          <w:tcPr>
            <w:tcW w:type="dxa" w:w="2197"/>
          </w:tcPr>
          <w:p>
            <w:pPr>
              <w:spacing w:after="0"/>
            </w:pPr>
            <w:r>
              <w:rPr>
                <w:rFonts w:ascii="Times New Roman" w:hAnsi="Times New Roman"/>
                <w:b w:val="0"/>
                <w:sz w:val="16"/>
              </w:rPr>
              <w:t>5/11</w:t>
            </w:r>
          </w:p>
        </w:tc>
        <w:tc>
          <w:tcPr>
            <w:tcW w:type="dxa" w:w="2197"/>
          </w:tcPr>
          <w:p>
            <w:pPr>
              <w:spacing w:after="0"/>
            </w:pPr>
            <w:r>
              <w:rPr>
                <w:rFonts w:ascii="Times New Roman" w:hAnsi="Times New Roman"/>
                <w:b w:val="0"/>
                <w:sz w:val="16"/>
              </w:rPr>
              <w:t>11/11</w:t>
            </w:r>
          </w:p>
        </w:tc>
        <w:tc>
          <w:tcPr>
            <w:tcW w:type="dxa" w:w="2197"/>
          </w:tcPr>
          <w:p>
            <w:pPr>
              <w:spacing w:after="0"/>
            </w:pPr>
            <w:r>
              <w:rPr>
                <w:rFonts w:ascii="Times New Roman" w:hAnsi="Times New Roman"/>
                <w:b w:val="0"/>
                <w:sz w:val="16"/>
              </w:rPr>
              <w:t>11/11</w:t>
            </w:r>
          </w:p>
        </w:tc>
      </w:tr>
      <w:tr>
        <w:tc>
          <w:tcPr>
            <w:tcW w:type="dxa" w:w="2197"/>
          </w:tcPr>
          <w:p>
            <w:pPr>
              <w:spacing w:after="0"/>
            </w:pPr>
            <w:r>
              <w:rPr>
                <w:rFonts w:ascii="Times New Roman" w:hAnsi="Times New Roman"/>
                <w:b w:val="0"/>
                <w:sz w:val="16"/>
              </w:rPr>
              <w:t>Electric current</w:t>
            </w:r>
          </w:p>
        </w:tc>
        <w:tc>
          <w:tcPr>
            <w:tcW w:type="dxa" w:w="2197"/>
          </w:tcPr>
          <w:p>
            <w:pPr>
              <w:spacing w:after="0"/>
            </w:pPr>
            <w:r>
              <w:rPr>
                <w:rFonts w:ascii="Times New Roman" w:hAnsi="Times New Roman"/>
                <w:b w:val="0"/>
                <w:sz w:val="16"/>
              </w:rPr>
              <w:t>7/11</w:t>
            </w:r>
          </w:p>
        </w:tc>
        <w:tc>
          <w:tcPr>
            <w:tcW w:type="dxa" w:w="2197"/>
          </w:tcPr>
          <w:p>
            <w:pPr>
              <w:spacing w:after="0"/>
            </w:pPr>
            <w:r>
              <w:rPr>
                <w:rFonts w:ascii="Times New Roman" w:hAnsi="Times New Roman"/>
                <w:b w:val="0"/>
                <w:sz w:val="16"/>
              </w:rPr>
              <w:t>11/11</w:t>
            </w:r>
          </w:p>
        </w:tc>
        <w:tc>
          <w:tcPr>
            <w:tcW w:type="dxa" w:w="2197"/>
          </w:tcPr>
          <w:p>
            <w:pPr>
              <w:spacing w:after="0"/>
            </w:pPr>
            <w:r>
              <w:rPr>
                <w:rFonts w:ascii="Times New Roman" w:hAnsi="Times New Roman"/>
                <w:b w:val="0"/>
                <w:sz w:val="16"/>
              </w:rPr>
              <w:t>11/11</w:t>
            </w:r>
          </w:p>
        </w:tc>
      </w:tr>
      <w:tr>
        <w:tc>
          <w:tcPr>
            <w:tcW w:type="dxa" w:w="2197"/>
          </w:tcPr>
          <w:p>
            <w:pPr>
              <w:spacing w:after="0"/>
            </w:pPr>
            <w:r>
              <w:rPr>
                <w:rFonts w:ascii="Times New Roman" w:hAnsi="Times New Roman"/>
                <w:b w:val="0"/>
                <w:sz w:val="16"/>
              </w:rPr>
              <w:t>Pythagoras (transliterated name)</w:t>
            </w:r>
          </w:p>
        </w:tc>
        <w:tc>
          <w:tcPr>
            <w:tcW w:type="dxa" w:w="2197"/>
          </w:tcPr>
          <w:p>
            <w:pPr>
              <w:spacing w:after="0"/>
            </w:pPr>
            <w:r>
              <w:rPr>
                <w:rFonts w:ascii="Times New Roman" w:hAnsi="Times New Roman"/>
                <w:b w:val="0"/>
                <w:sz w:val="16"/>
              </w:rPr>
              <w:t>5/11</w:t>
            </w:r>
          </w:p>
        </w:tc>
        <w:tc>
          <w:tcPr>
            <w:tcW w:type="dxa" w:w="2197"/>
          </w:tcPr>
          <w:p>
            <w:pPr>
              <w:spacing w:after="0"/>
            </w:pPr>
            <w:r>
              <w:rPr>
                <w:rFonts w:ascii="Times New Roman" w:hAnsi="Times New Roman"/>
                <w:b w:val="0"/>
                <w:sz w:val="16"/>
              </w:rPr>
              <w:t>11/11</w:t>
            </w:r>
          </w:p>
        </w:tc>
        <w:tc>
          <w:tcPr>
            <w:tcW w:type="dxa" w:w="2197"/>
          </w:tcPr>
          <w:p>
            <w:pPr>
              <w:spacing w:after="0"/>
            </w:pPr>
            <w:r>
              <w:rPr>
                <w:rFonts w:ascii="Times New Roman" w:hAnsi="Times New Roman"/>
                <w:b w:val="0"/>
                <w:sz w:val="16"/>
              </w:rPr>
              <w:t>11/11</w:t>
            </w:r>
          </w:p>
        </w:tc>
      </w:tr>
      <w:tr>
        <w:tc>
          <w:tcPr>
            <w:tcW w:type="dxa" w:w="2197"/>
          </w:tcPr>
          <w:p>
            <w:pPr>
              <w:spacing w:after="0"/>
            </w:pPr>
            <w:r>
              <w:rPr>
                <w:rFonts w:ascii="Times New Roman" w:hAnsi="Times New Roman"/>
                <w:b w:val="0"/>
                <w:sz w:val="16"/>
              </w:rPr>
              <w:t>The eye</w:t>
            </w:r>
          </w:p>
        </w:tc>
        <w:tc>
          <w:tcPr>
            <w:tcW w:type="dxa" w:w="2197"/>
          </w:tcPr>
          <w:p>
            <w:pPr>
              <w:spacing w:after="0"/>
            </w:pPr>
            <w:r>
              <w:rPr>
                <w:rFonts w:ascii="Times New Roman" w:hAnsi="Times New Roman"/>
                <w:b w:val="0"/>
                <w:sz w:val="16"/>
              </w:rPr>
              <w:t>9/11</w:t>
            </w:r>
          </w:p>
        </w:tc>
        <w:tc>
          <w:tcPr>
            <w:tcW w:type="dxa" w:w="2197"/>
          </w:tcPr>
          <w:p>
            <w:pPr>
              <w:spacing w:after="0"/>
            </w:pPr>
            <w:r>
              <w:rPr>
                <w:rFonts w:ascii="Times New Roman" w:hAnsi="Times New Roman"/>
                <w:b w:val="0"/>
                <w:sz w:val="16"/>
              </w:rPr>
              <w:t>5/11</w:t>
            </w:r>
          </w:p>
        </w:tc>
        <w:tc>
          <w:tcPr>
            <w:tcW w:type="dxa" w:w="2197"/>
          </w:tcPr>
          <w:p>
            <w:pPr>
              <w:spacing w:after="0"/>
            </w:pPr>
            <w:r>
              <w:rPr>
                <w:rFonts w:ascii="Times New Roman" w:hAnsi="Times New Roman"/>
                <w:b w:val="0"/>
                <w:sz w:val="16"/>
              </w:rPr>
              <w:t>7/11</w:t>
            </w:r>
          </w:p>
        </w:tc>
      </w:tr>
      <w:tr>
        <w:tc>
          <w:tcPr>
            <w:tcW w:type="dxa" w:w="2197"/>
          </w:tcPr>
          <w:p>
            <w:pPr>
              <w:spacing w:after="0"/>
            </w:pPr>
            <w:r>
              <w:rPr>
                <w:rFonts w:ascii="Times New Roman" w:hAnsi="Times New Roman"/>
                <w:b w:val="0"/>
                <w:sz w:val="16"/>
              </w:rPr>
              <w:t>Water cycle</w:t>
            </w:r>
          </w:p>
        </w:tc>
        <w:tc>
          <w:tcPr>
            <w:tcW w:type="dxa" w:w="2197"/>
          </w:tcPr>
          <w:p>
            <w:pPr>
              <w:spacing w:after="0"/>
            </w:pPr>
            <w:r>
              <w:rPr>
                <w:rFonts w:ascii="Times New Roman" w:hAnsi="Times New Roman"/>
                <w:b w:val="0"/>
                <w:sz w:val="16"/>
              </w:rPr>
              <w:t>8/11</w:t>
            </w:r>
          </w:p>
        </w:tc>
        <w:tc>
          <w:tcPr>
            <w:tcW w:type="dxa" w:w="2197"/>
          </w:tcPr>
          <w:p>
            <w:pPr>
              <w:spacing w:after="0"/>
            </w:pPr>
            <w:r>
              <w:rPr>
                <w:rFonts w:ascii="Times New Roman" w:hAnsi="Times New Roman"/>
                <w:b w:val="0"/>
                <w:sz w:val="16"/>
              </w:rPr>
              <w:t>7/11</w:t>
            </w:r>
          </w:p>
        </w:tc>
        <w:tc>
          <w:tcPr>
            <w:tcW w:type="dxa" w:w="2197"/>
          </w:tcPr>
          <w:p>
            <w:pPr>
              <w:spacing w:after="0"/>
            </w:pPr>
            <w:r>
              <w:rPr>
                <w:rFonts w:ascii="Times New Roman" w:hAnsi="Times New Roman"/>
                <w:b w:val="0"/>
                <w:sz w:val="16"/>
              </w:rPr>
              <w:t>7/11</w:t>
            </w:r>
          </w:p>
        </w:tc>
      </w:tr>
      <w:tr>
        <w:tc>
          <w:tcPr>
            <w:tcW w:type="dxa" w:w="2197"/>
          </w:tcPr>
          <w:p>
            <w:pPr>
              <w:spacing w:after="0"/>
            </w:pPr>
            <w:r>
              <w:rPr>
                <w:rFonts w:ascii="Times New Roman" w:hAnsi="Times New Roman"/>
                <w:b w:val="0"/>
                <w:sz w:val="16"/>
              </w:rPr>
              <w:t>Photosynthesis (native compound)</w:t>
            </w:r>
          </w:p>
        </w:tc>
        <w:tc>
          <w:tcPr>
            <w:tcW w:type="dxa" w:w="2197"/>
          </w:tcPr>
          <w:p>
            <w:pPr>
              <w:spacing w:after="0"/>
            </w:pPr>
            <w:r>
              <w:rPr>
                <w:rFonts w:ascii="Times New Roman" w:hAnsi="Times New Roman"/>
                <w:b w:val="0"/>
                <w:sz w:val="16"/>
              </w:rPr>
              <w:t>2/11</w:t>
            </w:r>
          </w:p>
        </w:tc>
        <w:tc>
          <w:tcPr>
            <w:tcW w:type="dxa" w:w="2197"/>
          </w:tcPr>
          <w:p>
            <w:pPr>
              <w:spacing w:after="0"/>
            </w:pPr>
            <w:r>
              <w:rPr>
                <w:rFonts w:ascii="Times New Roman" w:hAnsi="Times New Roman"/>
                <w:b w:val="0"/>
                <w:sz w:val="16"/>
              </w:rPr>
              <w:t>10/11</w:t>
            </w:r>
          </w:p>
        </w:tc>
        <w:tc>
          <w:tcPr>
            <w:tcW w:type="dxa" w:w="2197"/>
          </w:tcPr>
          <w:p>
            <w:pPr>
              <w:spacing w:after="0"/>
            </w:pPr>
            <w:r>
              <w:rPr>
                <w:rFonts w:ascii="Times New Roman" w:hAnsi="Times New Roman"/>
                <w:b w:val="0"/>
                <w:sz w:val="16"/>
              </w:rPr>
              <w:t>9/11</w:t>
            </w:r>
          </w:p>
        </w:tc>
      </w:tr>
    </w:tbl>
    <w:p>
      <w:pPr>
        <w:spacing w:after="120"/>
      </w:pPr>
    </w:p>
    <w:p>
      <w:pPr>
        <w:spacing w:after="0"/>
        <w:ind w:firstLine="0"/>
      </w:pPr>
      <w:r>
        <w:t>One source of variance is not controlled. The rewrite is a language-model call and is not deterministic at temperature zero. Repeated runs at 22 queries returned 16 and 17, and between that run and the 77-query run reported here the Tamil photosynthesis query changed from failing to succeeding. No figure here is given more precision than its interval carries.</w:t>
      </w:r>
    </w:p>
    <w:p>
      <w:pPr>
        <w:spacing w:before="120" w:after="60"/>
      </w:pPr>
      <w:r>
        <w:rPr>
          <w:rFonts w:ascii="Times New Roman" w:hAnsi="Times New Roman"/>
          <w:i/>
          <w:sz w:val="20"/>
        </w:rPr>
        <w:t>B.  Memory</w:t>
      </w:r>
    </w:p>
    <w:p>
      <w:pPr>
        <w:spacing w:after="0"/>
        <w:ind w:firstLine="0"/>
      </w:pPr>
      <w:r>
        <w:t>The embedding model was evaluated at both full and half precision.</w:t>
      </w:r>
    </w:p>
    <w:p>
      <w:pPr>
        <w:spacing w:before="160"/>
        <w:jc w:val="center"/>
      </w:pPr>
      <w:r>
        <w:rPr>
          <w:b/>
          <w:sz w:val="16"/>
        </w:rPr>
        <w:t>Table V.  Half precision against full precision for the embedding model.</w:t>
      </w:r>
    </w:p>
    <w:tbl>
      <w:tblPr>
        <w:tblStyle w:val="TableGrid"/>
        <w:tblW w:type="auto" w:w="0"/>
        <w:tblLook w:firstColumn="1" w:firstRow="1" w:lastColumn="0" w:lastRow="0" w:noHBand="0" w:noVBand="1" w:val="04A0"/>
      </w:tblPr>
      <w:tblGrid>
        <w:gridCol w:w="2929"/>
        <w:gridCol w:w="2929"/>
        <w:gridCol w:w="2929"/>
      </w:tblGrid>
      <w:tr>
        <w:tc>
          <w:tcPr>
            <w:tcW w:type="dxa" w:w="2929"/>
          </w:tcPr>
          <w:p>
            <w:pPr>
              <w:spacing w:after="0"/>
            </w:pPr>
            <w:r>
              <w:rPr>
                <w:rFonts w:ascii="Times New Roman" w:hAnsi="Times New Roman"/>
                <w:b/>
                <w:sz w:val="16"/>
              </w:rPr>
              <w:t>Metric</w:t>
            </w:r>
          </w:p>
        </w:tc>
        <w:tc>
          <w:tcPr>
            <w:tcW w:type="dxa" w:w="2929"/>
          </w:tcPr>
          <w:p>
            <w:pPr>
              <w:spacing w:after="0"/>
            </w:pPr>
            <w:r>
              <w:rPr>
                <w:rFonts w:ascii="Times New Roman" w:hAnsi="Times New Roman"/>
                <w:b/>
                <w:sz w:val="16"/>
              </w:rPr>
              <w:t>float32</w:t>
            </w:r>
          </w:p>
        </w:tc>
        <w:tc>
          <w:tcPr>
            <w:tcW w:type="dxa" w:w="2929"/>
          </w:tcPr>
          <w:p>
            <w:pPr>
              <w:spacing w:after="0"/>
            </w:pPr>
            <w:r>
              <w:rPr>
                <w:rFonts w:ascii="Times New Roman" w:hAnsi="Times New Roman"/>
                <w:b/>
                <w:sz w:val="16"/>
              </w:rPr>
              <w:t>float16</w:t>
            </w:r>
          </w:p>
        </w:tc>
      </w:tr>
      <w:tr>
        <w:tc>
          <w:tcPr>
            <w:tcW w:type="dxa" w:w="2929"/>
          </w:tcPr>
          <w:p>
            <w:pPr>
              <w:spacing w:after="0"/>
            </w:pPr>
            <w:r>
              <w:rPr>
                <w:rFonts w:ascii="Times New Roman" w:hAnsi="Times New Roman"/>
                <w:b w:val="0"/>
                <w:sz w:val="16"/>
              </w:rPr>
              <w:t>Weight memory</w:t>
            </w:r>
          </w:p>
        </w:tc>
        <w:tc>
          <w:tcPr>
            <w:tcW w:type="dxa" w:w="2929"/>
          </w:tcPr>
          <w:p>
            <w:pPr>
              <w:spacing w:after="0"/>
            </w:pPr>
            <w:r>
              <w:rPr>
                <w:rFonts w:ascii="Times New Roman" w:hAnsi="Times New Roman"/>
                <w:b w:val="0"/>
                <w:sz w:val="16"/>
              </w:rPr>
              <w:t>2,166 MB</w:t>
            </w:r>
          </w:p>
        </w:tc>
        <w:tc>
          <w:tcPr>
            <w:tcW w:type="dxa" w:w="2929"/>
          </w:tcPr>
          <w:p>
            <w:pPr>
              <w:spacing w:after="0"/>
            </w:pPr>
            <w:r>
              <w:rPr>
                <w:rFonts w:ascii="Times New Roman" w:hAnsi="Times New Roman"/>
                <w:b w:val="0"/>
                <w:sz w:val="16"/>
              </w:rPr>
              <w:t>1,083 MB</w:t>
            </w:r>
          </w:p>
        </w:tc>
      </w:tr>
      <w:tr>
        <w:tc>
          <w:tcPr>
            <w:tcW w:type="dxa" w:w="2929"/>
          </w:tcPr>
          <w:p>
            <w:pPr>
              <w:spacing w:after="0"/>
            </w:pPr>
            <w:r>
              <w:rPr>
                <w:rFonts w:ascii="Times New Roman" w:hAnsi="Times New Roman"/>
                <w:b w:val="0"/>
                <w:sz w:val="16"/>
              </w:rPr>
              <w:t>Encode four queries</w:t>
            </w:r>
          </w:p>
        </w:tc>
        <w:tc>
          <w:tcPr>
            <w:tcW w:type="dxa" w:w="2929"/>
          </w:tcPr>
          <w:p>
            <w:pPr>
              <w:spacing w:after="0"/>
            </w:pPr>
            <w:r>
              <w:rPr>
                <w:rFonts w:ascii="Times New Roman" w:hAnsi="Times New Roman"/>
                <w:b w:val="0"/>
                <w:sz w:val="16"/>
              </w:rPr>
              <w:t>2,255 ms</w:t>
            </w:r>
          </w:p>
        </w:tc>
        <w:tc>
          <w:tcPr>
            <w:tcW w:type="dxa" w:w="2929"/>
          </w:tcPr>
          <w:p>
            <w:pPr>
              <w:spacing w:after="0"/>
            </w:pPr>
            <w:r>
              <w:rPr>
                <w:rFonts w:ascii="Times New Roman" w:hAnsi="Times New Roman"/>
                <w:b w:val="0"/>
                <w:sz w:val="16"/>
              </w:rPr>
              <w:t>1,197 ms</w:t>
            </w:r>
          </w:p>
        </w:tc>
      </w:tr>
      <w:tr>
        <w:tc>
          <w:tcPr>
            <w:tcW w:type="dxa" w:w="2929"/>
          </w:tcPr>
          <w:p>
            <w:pPr>
              <w:spacing w:after="0"/>
            </w:pPr>
            <w:r>
              <w:rPr>
                <w:rFonts w:ascii="Times New Roman" w:hAnsi="Times New Roman"/>
                <w:b w:val="0"/>
                <w:sz w:val="16"/>
              </w:rPr>
              <w:t>Model load time</w:t>
            </w:r>
          </w:p>
        </w:tc>
        <w:tc>
          <w:tcPr>
            <w:tcW w:type="dxa" w:w="2929"/>
          </w:tcPr>
          <w:p>
            <w:pPr>
              <w:spacing w:after="0"/>
            </w:pPr>
            <w:r>
              <w:rPr>
                <w:rFonts w:ascii="Times New Roman" w:hAnsi="Times New Roman"/>
                <w:b w:val="0"/>
                <w:sz w:val="16"/>
              </w:rPr>
              <w:t>8.5 s</w:t>
            </w:r>
          </w:p>
        </w:tc>
        <w:tc>
          <w:tcPr>
            <w:tcW w:type="dxa" w:w="2929"/>
          </w:tcPr>
          <w:p>
            <w:pPr>
              <w:spacing w:after="0"/>
            </w:pPr>
            <w:r>
              <w:rPr>
                <w:rFonts w:ascii="Times New Roman" w:hAnsi="Times New Roman"/>
                <w:b w:val="0"/>
                <w:sz w:val="16"/>
              </w:rPr>
              <w:t>8.1 s</w:t>
            </w:r>
          </w:p>
        </w:tc>
      </w:tr>
      <w:tr>
        <w:tc>
          <w:tcPr>
            <w:tcW w:type="dxa" w:w="2929"/>
          </w:tcPr>
          <w:p>
            <w:pPr>
              <w:spacing w:after="0"/>
            </w:pPr>
            <w:r>
              <w:rPr>
                <w:rFonts w:ascii="Times New Roman" w:hAnsi="Times New Roman"/>
                <w:b w:val="0"/>
                <w:sz w:val="16"/>
              </w:rPr>
              <w:t>Cosine fidelity, mean</w:t>
            </w:r>
          </w:p>
        </w:tc>
        <w:tc>
          <w:tcPr>
            <w:tcW w:type="dxa" w:w="2929"/>
          </w:tcPr>
          <w:p>
            <w:pPr>
              <w:spacing w:after="0"/>
            </w:pPr>
            <w:r>
              <w:rPr>
                <w:rFonts w:ascii="Times New Roman" w:hAnsi="Times New Roman"/>
                <w:b w:val="0"/>
                <w:sz w:val="16"/>
              </w:rPr>
              <w:t>—</w:t>
            </w:r>
          </w:p>
        </w:tc>
        <w:tc>
          <w:tcPr>
            <w:tcW w:type="dxa" w:w="2929"/>
          </w:tcPr>
          <w:p>
            <w:pPr>
              <w:spacing w:after="0"/>
            </w:pPr>
            <w:r>
              <w:rPr>
                <w:rFonts w:ascii="Times New Roman" w:hAnsi="Times New Roman"/>
                <w:b w:val="0"/>
                <w:sz w:val="16"/>
              </w:rPr>
              <w:t>0.999998</w:t>
            </w:r>
          </w:p>
        </w:tc>
      </w:tr>
      <w:tr>
        <w:tc>
          <w:tcPr>
            <w:tcW w:type="dxa" w:w="2929"/>
          </w:tcPr>
          <w:p>
            <w:pPr>
              <w:spacing w:after="0"/>
            </w:pPr>
            <w:r>
              <w:rPr>
                <w:rFonts w:ascii="Times New Roman" w:hAnsi="Times New Roman"/>
                <w:b w:val="0"/>
                <w:sz w:val="16"/>
              </w:rPr>
              <w:t>Cosine fidelity, minimum</w:t>
            </w:r>
          </w:p>
        </w:tc>
        <w:tc>
          <w:tcPr>
            <w:tcW w:type="dxa" w:w="2929"/>
          </w:tcPr>
          <w:p>
            <w:pPr>
              <w:spacing w:after="0"/>
            </w:pPr>
            <w:r>
              <w:rPr>
                <w:rFonts w:ascii="Times New Roman" w:hAnsi="Times New Roman"/>
                <w:b w:val="0"/>
                <w:sz w:val="16"/>
              </w:rPr>
              <w:t>—</w:t>
            </w:r>
          </w:p>
        </w:tc>
        <w:tc>
          <w:tcPr>
            <w:tcW w:type="dxa" w:w="2929"/>
          </w:tcPr>
          <w:p>
            <w:pPr>
              <w:spacing w:after="0"/>
            </w:pPr>
            <w:r>
              <w:rPr>
                <w:rFonts w:ascii="Times New Roman" w:hAnsi="Times New Roman"/>
                <w:b w:val="0"/>
                <w:sz w:val="16"/>
              </w:rPr>
              <w:t>0.999964</w:t>
            </w:r>
          </w:p>
        </w:tc>
      </w:tr>
    </w:tbl>
    <w:p>
      <w:pPr>
        <w:spacing w:after="120"/>
      </w:pPr>
    </w:p>
    <w:p>
      <w:pPr>
        <w:spacing w:after="0"/>
        <w:ind w:firstLine="0"/>
      </w:pPr>
      <w:r>
        <w:t>Half precision halves the weights and encodes about 1.88 times faster at a mean cosine fidelity of 0.999998 and a worst case of 0.999964 over 400 corpus passages. Whether that matters is a question about rankings, so it was tested as one: over eight queries the top twelve passages are the same twelve under both precisions, in the same order for six of the eight, with the first difference at rank nine. The peak resident set through the serving pipeline is 2,094 MB, measured at the kernel rather than summed from component sizes; an earlier arithmetic estimate of 1,600 MB understated it by 31%.</w:t>
      </w:r>
    </w:p>
    <w:p>
      <w:pPr>
        <w:spacing w:before="240" w:after="120"/>
        <w:jc w:val="center"/>
      </w:pPr>
      <w:r>
        <w:rPr>
          <w:rFonts w:ascii="Times New Roman" w:hAnsi="Times New Roman"/>
          <w:b/>
          <w:sz w:val="20"/>
        </w:rPr>
        <w:t>XI.  Data Model</w:t>
      </w:r>
    </w:p>
    <w:p>
      <w:pPr>
        <w:spacing w:after="0"/>
        <w:ind w:firstLine="0"/>
      </w:pPr>
      <w:r>
        <w:t>All retrieval results are measured against one recorded corpus state, given in Table II, so that the numbers can be reproduced rather than taken on trust.</w:t>
      </w:r>
    </w:p>
    <w:p>
      <w:pPr>
        <w:spacing w:before="160"/>
        <w:jc w:val="center"/>
      </w:pPr>
      <w:r>
        <w:rPr>
          <w:b/>
          <w:sz w:val="16"/>
        </w:rPr>
        <w:t>Table II.  The corpus the retrieval results are measured against.</w:t>
      </w:r>
    </w:p>
    <w:tbl>
      <w:tblPr>
        <w:tblStyle w:val="TableGrid"/>
        <w:tblW w:type="auto" w:w="0"/>
        <w:tblLook w:firstColumn="1" w:firstRow="1" w:lastColumn="0" w:lastRow="0" w:noHBand="0" w:noVBand="1" w:val="04A0"/>
      </w:tblPr>
      <w:tblGrid>
        <w:gridCol w:w="4394"/>
        <w:gridCol w:w="4394"/>
      </w:tblGrid>
      <w:tr>
        <w:tc>
          <w:tcPr>
            <w:tcW w:type="dxa" w:w="4394"/>
          </w:tcPr>
          <w:p>
            <w:pPr>
              <w:spacing w:after="0"/>
            </w:pPr>
            <w:r>
              <w:rPr>
                <w:rFonts w:ascii="Times New Roman" w:hAnsi="Times New Roman"/>
                <w:b/>
                <w:sz w:val="16"/>
              </w:rPr>
              <w:t>Property</w:t>
            </w:r>
          </w:p>
        </w:tc>
        <w:tc>
          <w:tcPr>
            <w:tcW w:type="dxa" w:w="4394"/>
          </w:tcPr>
          <w:p>
            <w:pPr>
              <w:spacing w:after="0"/>
            </w:pPr>
            <w:r>
              <w:rPr>
                <w:rFonts w:ascii="Times New Roman" w:hAnsi="Times New Roman"/>
                <w:b/>
                <w:sz w:val="16"/>
              </w:rPr>
              <w:t>Value</w:t>
            </w:r>
          </w:p>
        </w:tc>
      </w:tr>
      <w:tr>
        <w:tc>
          <w:tcPr>
            <w:tcW w:type="dxa" w:w="4394"/>
          </w:tcPr>
          <w:p>
            <w:pPr>
              <w:spacing w:after="0"/>
            </w:pPr>
            <w:r>
              <w:rPr>
                <w:rFonts w:ascii="Times New Roman" w:hAnsi="Times New Roman"/>
                <w:b w:val="0"/>
                <w:sz w:val="16"/>
              </w:rPr>
              <w:t>Textbooks ingested</w:t>
            </w:r>
          </w:p>
        </w:tc>
        <w:tc>
          <w:tcPr>
            <w:tcW w:type="dxa" w:w="4394"/>
          </w:tcPr>
          <w:p>
            <w:pPr>
              <w:spacing w:after="0"/>
            </w:pPr>
            <w:r>
              <w:rPr>
                <w:rFonts w:ascii="Times New Roman" w:hAnsi="Times New Roman"/>
                <w:b w:val="0"/>
                <w:sz w:val="16"/>
              </w:rPr>
              <w:t>155</w:t>
            </w:r>
          </w:p>
        </w:tc>
      </w:tr>
      <w:tr>
        <w:tc>
          <w:tcPr>
            <w:tcW w:type="dxa" w:w="4394"/>
          </w:tcPr>
          <w:p>
            <w:pPr>
              <w:spacing w:after="0"/>
            </w:pPr>
            <w:r>
              <w:rPr>
                <w:rFonts w:ascii="Times New Roman" w:hAnsi="Times New Roman"/>
                <w:b w:val="0"/>
                <w:sz w:val="16"/>
              </w:rPr>
              <w:t>Chapters</w:t>
            </w:r>
          </w:p>
        </w:tc>
        <w:tc>
          <w:tcPr>
            <w:tcW w:type="dxa" w:w="4394"/>
          </w:tcPr>
          <w:p>
            <w:pPr>
              <w:spacing w:after="0"/>
            </w:pPr>
            <w:r>
              <w:rPr>
                <w:rFonts w:ascii="Times New Roman" w:hAnsi="Times New Roman"/>
                <w:b w:val="0"/>
                <w:sz w:val="16"/>
              </w:rPr>
              <w:t>1,557</w:t>
            </w:r>
          </w:p>
        </w:tc>
      </w:tr>
      <w:tr>
        <w:tc>
          <w:tcPr>
            <w:tcW w:type="dxa" w:w="4394"/>
          </w:tcPr>
          <w:p>
            <w:pPr>
              <w:spacing w:after="0"/>
            </w:pPr>
            <w:r>
              <w:rPr>
                <w:rFonts w:ascii="Times New Roman" w:hAnsi="Times New Roman"/>
                <w:b w:val="0"/>
                <w:sz w:val="16"/>
              </w:rPr>
              <w:t>Indexed passages</w:t>
            </w:r>
          </w:p>
        </w:tc>
        <w:tc>
          <w:tcPr>
            <w:tcW w:type="dxa" w:w="4394"/>
          </w:tcPr>
          <w:p>
            <w:pPr>
              <w:spacing w:after="0"/>
            </w:pPr>
            <w:r>
              <w:rPr>
                <w:rFonts w:ascii="Times New Roman" w:hAnsi="Times New Roman"/>
                <w:b w:val="0"/>
                <w:sz w:val="16"/>
              </w:rPr>
              <w:t>43,621</w:t>
            </w:r>
          </w:p>
        </w:tc>
      </w:tr>
      <w:tr>
        <w:tc>
          <w:tcPr>
            <w:tcW w:type="dxa" w:w="4394"/>
          </w:tcPr>
          <w:p>
            <w:pPr>
              <w:spacing w:after="0"/>
            </w:pPr>
            <w:r>
              <w:rPr>
                <w:rFonts w:ascii="Times New Roman" w:hAnsi="Times New Roman"/>
                <w:b w:val="0"/>
                <w:sz w:val="16"/>
              </w:rPr>
              <w:t>Passages with an embedding</w:t>
            </w:r>
          </w:p>
        </w:tc>
        <w:tc>
          <w:tcPr>
            <w:tcW w:type="dxa" w:w="4394"/>
          </w:tcPr>
          <w:p>
            <w:pPr>
              <w:spacing w:after="0"/>
            </w:pPr>
            <w:r>
              <w:rPr>
                <w:rFonts w:ascii="Times New Roman" w:hAnsi="Times New Roman"/>
                <w:b w:val="0"/>
                <w:sz w:val="16"/>
              </w:rPr>
              <w:t>43,621 of 43,621</w:t>
            </w:r>
          </w:p>
        </w:tc>
      </w:tr>
      <w:tr>
        <w:tc>
          <w:tcPr>
            <w:tcW w:type="dxa" w:w="4394"/>
          </w:tcPr>
          <w:p>
            <w:pPr>
              <w:spacing w:after="0"/>
            </w:pPr>
            <w:r>
              <w:rPr>
                <w:rFonts w:ascii="Times New Roman" w:hAnsi="Times New Roman"/>
                <w:b w:val="0"/>
                <w:sz w:val="16"/>
              </w:rPr>
              <w:t>Classes represented</w:t>
            </w:r>
          </w:p>
        </w:tc>
        <w:tc>
          <w:tcPr>
            <w:tcW w:type="dxa" w:w="4394"/>
          </w:tcPr>
          <w:p>
            <w:pPr>
              <w:spacing w:after="0"/>
            </w:pPr>
            <w:r>
              <w:rPr>
                <w:rFonts w:ascii="Times New Roman" w:hAnsi="Times New Roman"/>
                <w:b w:val="0"/>
                <w:sz w:val="16"/>
              </w:rPr>
              <w:t>1 to 12</w:t>
            </w:r>
          </w:p>
        </w:tc>
      </w:tr>
      <w:tr>
        <w:tc>
          <w:tcPr>
            <w:tcW w:type="dxa" w:w="4394"/>
          </w:tcPr>
          <w:p>
            <w:pPr>
              <w:spacing w:after="0"/>
            </w:pPr>
            <w:r>
              <w:rPr>
                <w:rFonts w:ascii="Times New Roman" w:hAnsi="Times New Roman"/>
                <w:b w:val="0"/>
                <w:sz w:val="16"/>
              </w:rPr>
              <w:t>Books at class 1 / class 12</w:t>
            </w:r>
          </w:p>
        </w:tc>
        <w:tc>
          <w:tcPr>
            <w:tcW w:type="dxa" w:w="4394"/>
          </w:tcPr>
          <w:p>
            <w:pPr>
              <w:spacing w:after="0"/>
            </w:pPr>
            <w:r>
              <w:rPr>
                <w:rFonts w:ascii="Times New Roman" w:hAnsi="Times New Roman"/>
                <w:b w:val="0"/>
                <w:sz w:val="16"/>
              </w:rPr>
              <w:t>3 / 34</w:t>
            </w:r>
          </w:p>
        </w:tc>
      </w:tr>
      <w:tr>
        <w:tc>
          <w:tcPr>
            <w:tcW w:type="dxa" w:w="4394"/>
          </w:tcPr>
          <w:p>
            <w:pPr>
              <w:spacing w:after="0"/>
            </w:pPr>
            <w:r>
              <w:rPr>
                <w:rFonts w:ascii="Times New Roman" w:hAnsi="Times New Roman"/>
                <w:b w:val="0"/>
                <w:sz w:val="16"/>
              </w:rPr>
              <w:t>Catalog size</w:t>
            </w:r>
          </w:p>
        </w:tc>
        <w:tc>
          <w:tcPr>
            <w:tcW w:type="dxa" w:w="4394"/>
          </w:tcPr>
          <w:p>
            <w:pPr>
              <w:spacing w:after="0"/>
            </w:pPr>
            <w:r>
              <w:rPr>
                <w:rFonts w:ascii="Times New Roman" w:hAnsi="Times New Roman"/>
                <w:b w:val="0"/>
                <w:sz w:val="16"/>
              </w:rPr>
              <w:t>559 textbooks</w:t>
            </w:r>
          </w:p>
        </w:tc>
      </w:tr>
      <w:tr>
        <w:tc>
          <w:tcPr>
            <w:tcW w:type="dxa" w:w="4394"/>
          </w:tcPr>
          <w:p>
            <w:pPr>
              <w:spacing w:after="0"/>
            </w:pPr>
            <w:r>
              <w:rPr>
                <w:rFonts w:ascii="Times New Roman" w:hAnsi="Times New Roman"/>
                <w:b w:val="0"/>
                <w:sz w:val="16"/>
              </w:rPr>
              <w:t>Taught subset targeted</w:t>
            </w:r>
          </w:p>
        </w:tc>
        <w:tc>
          <w:tcPr>
            <w:tcW w:type="dxa" w:w="4394"/>
          </w:tcPr>
          <w:p>
            <w:pPr>
              <w:spacing w:after="0"/>
            </w:pPr>
            <w:r>
              <w:rPr>
                <w:rFonts w:ascii="Times New Roman" w:hAnsi="Times New Roman"/>
                <w:b w:val="0"/>
                <w:sz w:val="16"/>
              </w:rPr>
              <w:t>263 books</w:t>
            </w:r>
          </w:p>
        </w:tc>
      </w:tr>
    </w:tbl>
    <w:p>
      <w:pPr>
        <w:spacing w:after="120"/>
      </w:pPr>
    </w:p>
    <w:p>
      <w:pPr>
        <w:spacing w:after="0"/>
        <w:ind w:firstLine="0"/>
      </w:pPr>
      <w:r>
        <w:t>The grounding results precede the recovery of two books and are reported against the 153-textbook state that preceded this one, with 1,542 chapters and 42,995 passages. Reporting a single state for both would have been tidier and false.</w:t>
      </w:r>
    </w:p>
    <w:p>
      <w:pPr>
        <w:spacing w:after="0"/>
        <w:ind w:firstLine="0"/>
      </w:pPr>
      <w:r>
        <w:t>The evaluation data model has three inputs and one output per trial. The inputs are the language, the topic and the pipeline configuration; the output is the rank of the first on-topic passage, from which both the rank-1 verdict and the reciprocal rank are derived. Seventy-seven queries across five configurations give 385 trials. The grounding evaluation uses a different model: 16 questions produce 16 matched answer-passage pairs and 240 mismatched ones, by pairing each answer with the passages retrieved for a different question.</w:t>
      </w:r>
    </w:p>
    <w:p>
      <w:pPr>
        <w:spacing w:after="0"/>
        <w:ind w:firstLine="0"/>
      </w:pPr>
      <w:r>
        <w:t>The corpus itself is not distributed with the system. NCERT publishes these textbooks for free public download; the pipeline fetches them directly and stores extracted text for retrieval, and the catalog rather than the books is what the repository carries.</w:t>
      </w:r>
    </w:p>
    <w:p>
      <w:pPr>
        <w:spacing w:before="240" w:after="120"/>
        <w:jc w:val="center"/>
      </w:pPr>
      <w:r>
        <w:rPr>
          <w:rFonts w:ascii="Times New Roman" w:hAnsi="Times New Roman"/>
          <w:b/>
          <w:sz w:val="20"/>
        </w:rPr>
        <w:t>XII.  Comparison of Results</w:t>
      </w:r>
    </w:p>
    <w:p>
      <w:pPr>
        <w:spacing w:after="0"/>
        <w:ind w:firstLine="0"/>
      </w:pPr>
      <w:r>
        <w:t>Two comparisons are reported. The first is against the systems an Indian student is most likely to encounter, and is confined to architectural properties. Every cell is a structural fact, a published vendor figure, or n/d where none exists, and no row sets a measurement of ours against a number that could not be obtained, because commercial products publish neither latency distributions nor retrieval quality nor memory footprints.</w:t>
      </w:r>
    </w:p>
    <w:p>
      <w:pPr>
        <w:spacing w:before="160"/>
        <w:jc w:val="center"/>
      </w:pPr>
      <w:r>
        <w:rPr>
          <w:b/>
          <w:sz w:val="16"/>
        </w:rPr>
        <w:t>Table I.  Comparison with deployed systems. n/d: not disclosed by the operator. Rows are architectural properties, not performance claims.</w:t>
      </w:r>
    </w:p>
    <w:tbl>
      <w:tblPr>
        <w:tblStyle w:val="TableGrid"/>
        <w:tblW w:type="auto" w:w="0"/>
        <w:tblLook w:firstColumn="1" w:firstRow="1" w:lastColumn="0" w:lastRow="0" w:noHBand="0" w:noVBand="1" w:val="04A0"/>
      </w:tblPr>
      <w:tblGrid>
        <w:gridCol w:w="1758"/>
        <w:gridCol w:w="1758"/>
        <w:gridCol w:w="1758"/>
        <w:gridCol w:w="1758"/>
        <w:gridCol w:w="1758"/>
      </w:tblGrid>
      <w:tr>
        <w:tc>
          <w:tcPr>
            <w:tcW w:type="dxa" w:w="1758"/>
          </w:tcPr>
          <w:p>
            <w:pPr>
              <w:spacing w:after="0"/>
            </w:pPr>
            <w:r>
              <w:rPr>
                <w:rFonts w:ascii="Times New Roman" w:hAnsi="Times New Roman"/>
                <w:b/>
                <w:sz w:val="16"/>
              </w:rPr>
              <w:t>Property</w:t>
            </w:r>
          </w:p>
        </w:tc>
        <w:tc>
          <w:tcPr>
            <w:tcW w:type="dxa" w:w="1758"/>
          </w:tcPr>
          <w:p>
            <w:pPr>
              <w:spacing w:after="0"/>
            </w:pPr>
            <w:r>
              <w:rPr>
                <w:rFonts w:ascii="Times New Roman" w:hAnsi="Times New Roman"/>
                <w:b/>
                <w:sz w:val="16"/>
              </w:rPr>
              <w:t>Khanmigo</w:t>
            </w:r>
          </w:p>
        </w:tc>
        <w:tc>
          <w:tcPr>
            <w:tcW w:type="dxa" w:w="1758"/>
          </w:tcPr>
          <w:p>
            <w:pPr>
              <w:spacing w:after="0"/>
            </w:pPr>
            <w:r>
              <w:rPr>
                <w:rFonts w:ascii="Times New Roman" w:hAnsi="Times New Roman"/>
                <w:b/>
                <w:sz w:val="16"/>
              </w:rPr>
              <w:t>BYJU'S</w:t>
            </w:r>
          </w:p>
        </w:tc>
        <w:tc>
          <w:tcPr>
            <w:tcW w:type="dxa" w:w="1758"/>
          </w:tcPr>
          <w:p>
            <w:pPr>
              <w:spacing w:after="0"/>
            </w:pPr>
            <w:r>
              <w:rPr>
                <w:rFonts w:ascii="Times New Roman" w:hAnsi="Times New Roman"/>
                <w:b/>
                <w:sz w:val="16"/>
              </w:rPr>
              <w:t>Bhashini</w:t>
            </w:r>
          </w:p>
        </w:tc>
        <w:tc>
          <w:tcPr>
            <w:tcW w:type="dxa" w:w="1758"/>
          </w:tcPr>
          <w:p>
            <w:pPr>
              <w:spacing w:after="0"/>
            </w:pPr>
            <w:r>
              <w:rPr>
                <w:rFonts w:ascii="Times New Roman" w:hAnsi="Times New Roman"/>
                <w:b/>
                <w:sz w:val="16"/>
              </w:rPr>
              <w:t>Shiksha Setu</w:t>
            </w:r>
          </w:p>
        </w:tc>
      </w:tr>
      <w:tr>
        <w:tc>
          <w:tcPr>
            <w:tcW w:type="dxa" w:w="1758"/>
          </w:tcPr>
          <w:p>
            <w:pPr>
              <w:spacing w:after="0"/>
            </w:pPr>
            <w:r>
              <w:rPr>
                <w:rFonts w:ascii="Times New Roman" w:hAnsi="Times New Roman"/>
                <w:b w:val="0"/>
                <w:sz w:val="16"/>
              </w:rPr>
              <w:t>NCERT-aligned corpus</w:t>
            </w:r>
          </w:p>
        </w:tc>
        <w:tc>
          <w:tcPr>
            <w:tcW w:type="dxa" w:w="1758"/>
          </w:tcPr>
          <w:p>
            <w:pPr>
              <w:spacing w:after="0"/>
            </w:pPr>
            <w:r>
              <w:rPr>
                <w:rFonts w:ascii="Times New Roman" w:hAnsi="Times New Roman"/>
                <w:b w:val="0"/>
                <w:sz w:val="16"/>
              </w:rPr>
              <w:t>no</w:t>
            </w:r>
          </w:p>
        </w:tc>
        <w:tc>
          <w:tcPr>
            <w:tcW w:type="dxa" w:w="1758"/>
          </w:tcPr>
          <w:p>
            <w:pPr>
              <w:spacing w:after="0"/>
            </w:pPr>
            <w:r>
              <w:rPr>
                <w:rFonts w:ascii="Times New Roman" w:hAnsi="Times New Roman"/>
                <w:b w:val="0"/>
                <w:sz w:val="16"/>
              </w:rPr>
              <w:t>yes</w:t>
            </w:r>
          </w:p>
        </w:tc>
        <w:tc>
          <w:tcPr>
            <w:tcW w:type="dxa" w:w="1758"/>
          </w:tcPr>
          <w:p>
            <w:pPr>
              <w:spacing w:after="0"/>
            </w:pPr>
            <w:r>
              <w:rPr>
                <w:rFonts w:ascii="Times New Roman" w:hAnsi="Times New Roman"/>
                <w:b w:val="0"/>
                <w:sz w:val="16"/>
              </w:rPr>
              <w:t>—</w:t>
            </w:r>
          </w:p>
        </w:tc>
        <w:tc>
          <w:tcPr>
            <w:tcW w:type="dxa" w:w="1758"/>
          </w:tcPr>
          <w:p>
            <w:pPr>
              <w:spacing w:after="0"/>
            </w:pPr>
            <w:r>
              <w:rPr>
                <w:rFonts w:ascii="Times New Roman" w:hAnsi="Times New Roman"/>
                <w:b w:val="0"/>
                <w:sz w:val="16"/>
              </w:rPr>
              <w:t>yes</w:t>
            </w:r>
          </w:p>
        </w:tc>
      </w:tr>
      <w:tr>
        <w:tc>
          <w:tcPr>
            <w:tcW w:type="dxa" w:w="1758"/>
          </w:tcPr>
          <w:p>
            <w:pPr>
              <w:spacing w:after="0"/>
            </w:pPr>
            <w:r>
              <w:rPr>
                <w:rFonts w:ascii="Times New Roman" w:hAnsi="Times New Roman"/>
                <w:b w:val="0"/>
                <w:sz w:val="16"/>
              </w:rPr>
              <w:t>Indian languages</w:t>
            </w:r>
          </w:p>
        </w:tc>
        <w:tc>
          <w:tcPr>
            <w:tcW w:type="dxa" w:w="1758"/>
          </w:tcPr>
          <w:p>
            <w:pPr>
              <w:spacing w:after="0"/>
            </w:pPr>
            <w:r>
              <w:rPr>
                <w:rFonts w:ascii="Times New Roman" w:hAnsi="Times New Roman"/>
                <w:b w:val="0"/>
                <w:sz w:val="16"/>
              </w:rPr>
              <w:t>no</w:t>
            </w:r>
          </w:p>
        </w:tc>
        <w:tc>
          <w:tcPr>
            <w:tcW w:type="dxa" w:w="1758"/>
          </w:tcPr>
          <w:p>
            <w:pPr>
              <w:spacing w:after="0"/>
            </w:pPr>
            <w:r>
              <w:rPr>
                <w:rFonts w:ascii="Times New Roman" w:hAnsi="Times New Roman"/>
                <w:b w:val="0"/>
                <w:sz w:val="16"/>
              </w:rPr>
              <w:t>n/d</w:t>
            </w:r>
          </w:p>
        </w:tc>
        <w:tc>
          <w:tcPr>
            <w:tcW w:type="dxa" w:w="1758"/>
          </w:tcPr>
          <w:p>
            <w:pPr>
              <w:spacing w:after="0"/>
            </w:pPr>
            <w:r>
              <w:rPr>
                <w:rFonts w:ascii="Times New Roman" w:hAnsi="Times New Roman"/>
                <w:b w:val="0"/>
                <w:sz w:val="16"/>
              </w:rPr>
              <w:t>22</w:t>
            </w:r>
          </w:p>
        </w:tc>
        <w:tc>
          <w:tcPr>
            <w:tcW w:type="dxa" w:w="1758"/>
          </w:tcPr>
          <w:p>
            <w:pPr>
              <w:spacing w:after="0"/>
            </w:pPr>
            <w:r>
              <w:rPr>
                <w:rFonts w:ascii="Times New Roman" w:hAnsi="Times New Roman"/>
                <w:b w:val="0"/>
                <w:sz w:val="16"/>
              </w:rPr>
              <w:t>11</w:t>
            </w:r>
          </w:p>
        </w:tc>
      </w:tr>
      <w:tr>
        <w:tc>
          <w:tcPr>
            <w:tcW w:type="dxa" w:w="1758"/>
          </w:tcPr>
          <w:p>
            <w:pPr>
              <w:spacing w:after="0"/>
            </w:pPr>
            <w:r>
              <w:rPr>
                <w:rFonts w:ascii="Times New Roman" w:hAnsi="Times New Roman"/>
                <w:b w:val="0"/>
                <w:sz w:val="16"/>
              </w:rPr>
              <w:t>Corpus held locally</w:t>
            </w:r>
          </w:p>
        </w:tc>
        <w:tc>
          <w:tcPr>
            <w:tcW w:type="dxa" w:w="1758"/>
          </w:tcPr>
          <w:p>
            <w:pPr>
              <w:spacing w:after="0"/>
            </w:pPr>
            <w:r>
              <w:rPr>
                <w:rFonts w:ascii="Times New Roman" w:hAnsi="Times New Roman"/>
                <w:b w:val="0"/>
                <w:sz w:val="16"/>
              </w:rPr>
              <w:t>no</w:t>
            </w:r>
          </w:p>
        </w:tc>
        <w:tc>
          <w:tcPr>
            <w:tcW w:type="dxa" w:w="1758"/>
          </w:tcPr>
          <w:p>
            <w:pPr>
              <w:spacing w:after="0"/>
            </w:pPr>
            <w:r>
              <w:rPr>
                <w:rFonts w:ascii="Times New Roman" w:hAnsi="Times New Roman"/>
                <w:b w:val="0"/>
                <w:sz w:val="16"/>
              </w:rPr>
              <w:t>no</w:t>
            </w:r>
          </w:p>
        </w:tc>
        <w:tc>
          <w:tcPr>
            <w:tcW w:type="dxa" w:w="1758"/>
          </w:tcPr>
          <w:p>
            <w:pPr>
              <w:spacing w:after="0"/>
            </w:pPr>
            <w:r>
              <w:rPr>
                <w:rFonts w:ascii="Times New Roman" w:hAnsi="Times New Roman"/>
                <w:b w:val="0"/>
                <w:sz w:val="16"/>
              </w:rPr>
              <w:t>—</w:t>
            </w:r>
          </w:p>
        </w:tc>
        <w:tc>
          <w:tcPr>
            <w:tcW w:type="dxa" w:w="1758"/>
          </w:tcPr>
          <w:p>
            <w:pPr>
              <w:spacing w:after="0"/>
            </w:pPr>
            <w:r>
              <w:rPr>
                <w:rFonts w:ascii="Times New Roman" w:hAnsi="Times New Roman"/>
                <w:b w:val="0"/>
                <w:sz w:val="16"/>
              </w:rPr>
              <w:t>yes</w:t>
            </w:r>
          </w:p>
        </w:tc>
      </w:tr>
      <w:tr>
        <w:tc>
          <w:tcPr>
            <w:tcW w:type="dxa" w:w="1758"/>
          </w:tcPr>
          <w:p>
            <w:pPr>
              <w:spacing w:after="0"/>
            </w:pPr>
            <w:r>
              <w:rPr>
                <w:rFonts w:ascii="Times New Roman" w:hAnsi="Times New Roman"/>
                <w:b w:val="0"/>
                <w:sz w:val="16"/>
              </w:rPr>
              <w:t>Retrieval runs locally</w:t>
            </w:r>
          </w:p>
        </w:tc>
        <w:tc>
          <w:tcPr>
            <w:tcW w:type="dxa" w:w="1758"/>
          </w:tcPr>
          <w:p>
            <w:pPr>
              <w:spacing w:after="0"/>
            </w:pPr>
            <w:r>
              <w:rPr>
                <w:rFonts w:ascii="Times New Roman" w:hAnsi="Times New Roman"/>
                <w:b w:val="0"/>
                <w:sz w:val="16"/>
              </w:rPr>
              <w:t>no</w:t>
            </w:r>
          </w:p>
        </w:tc>
        <w:tc>
          <w:tcPr>
            <w:tcW w:type="dxa" w:w="1758"/>
          </w:tcPr>
          <w:p>
            <w:pPr>
              <w:spacing w:after="0"/>
            </w:pPr>
            <w:r>
              <w:rPr>
                <w:rFonts w:ascii="Times New Roman" w:hAnsi="Times New Roman"/>
                <w:b w:val="0"/>
                <w:sz w:val="16"/>
              </w:rPr>
              <w:t>no</w:t>
            </w:r>
          </w:p>
        </w:tc>
        <w:tc>
          <w:tcPr>
            <w:tcW w:type="dxa" w:w="1758"/>
          </w:tcPr>
          <w:p>
            <w:pPr>
              <w:spacing w:after="0"/>
            </w:pPr>
            <w:r>
              <w:rPr>
                <w:rFonts w:ascii="Times New Roman" w:hAnsi="Times New Roman"/>
                <w:b w:val="0"/>
                <w:sz w:val="16"/>
              </w:rPr>
              <w:t>—</w:t>
            </w:r>
          </w:p>
        </w:tc>
        <w:tc>
          <w:tcPr>
            <w:tcW w:type="dxa" w:w="1758"/>
          </w:tcPr>
          <w:p>
            <w:pPr>
              <w:spacing w:after="0"/>
            </w:pPr>
            <w:r>
              <w:rPr>
                <w:rFonts w:ascii="Times New Roman" w:hAnsi="Times New Roman"/>
                <w:b w:val="0"/>
                <w:sz w:val="16"/>
              </w:rPr>
              <w:t>yes</w:t>
            </w:r>
          </w:p>
        </w:tc>
      </w:tr>
      <w:tr>
        <w:tc>
          <w:tcPr>
            <w:tcW w:type="dxa" w:w="1758"/>
          </w:tcPr>
          <w:p>
            <w:pPr>
              <w:spacing w:after="0"/>
            </w:pPr>
            <w:r>
              <w:rPr>
                <w:rFonts w:ascii="Times New Roman" w:hAnsi="Times New Roman"/>
                <w:b w:val="0"/>
                <w:sz w:val="16"/>
              </w:rPr>
              <w:t>Generation runs locally</w:t>
            </w:r>
          </w:p>
        </w:tc>
        <w:tc>
          <w:tcPr>
            <w:tcW w:type="dxa" w:w="1758"/>
          </w:tcPr>
          <w:p>
            <w:pPr>
              <w:spacing w:after="0"/>
            </w:pPr>
            <w:r>
              <w:rPr>
                <w:rFonts w:ascii="Times New Roman" w:hAnsi="Times New Roman"/>
                <w:b w:val="0"/>
                <w:sz w:val="16"/>
              </w:rPr>
              <w:t>no</w:t>
            </w:r>
          </w:p>
        </w:tc>
        <w:tc>
          <w:tcPr>
            <w:tcW w:type="dxa" w:w="1758"/>
          </w:tcPr>
          <w:p>
            <w:pPr>
              <w:spacing w:after="0"/>
            </w:pPr>
            <w:r>
              <w:rPr>
                <w:rFonts w:ascii="Times New Roman" w:hAnsi="Times New Roman"/>
                <w:b w:val="0"/>
                <w:sz w:val="16"/>
              </w:rPr>
              <w:t>no</w:t>
            </w:r>
          </w:p>
        </w:tc>
        <w:tc>
          <w:tcPr>
            <w:tcW w:type="dxa" w:w="1758"/>
          </w:tcPr>
          <w:p>
            <w:pPr>
              <w:spacing w:after="0"/>
            </w:pPr>
            <w:r>
              <w:rPr>
                <w:rFonts w:ascii="Times New Roman" w:hAnsi="Times New Roman"/>
                <w:b w:val="0"/>
                <w:sz w:val="16"/>
              </w:rPr>
              <w:t>—</w:t>
            </w:r>
          </w:p>
        </w:tc>
        <w:tc>
          <w:tcPr>
            <w:tcW w:type="dxa" w:w="1758"/>
          </w:tcPr>
          <w:p>
            <w:pPr>
              <w:spacing w:after="0"/>
            </w:pPr>
            <w:r>
              <w:rPr>
                <w:rFonts w:ascii="Times New Roman" w:hAnsi="Times New Roman"/>
                <w:b w:val="0"/>
                <w:sz w:val="16"/>
              </w:rPr>
              <w:t>no</w:t>
            </w:r>
          </w:p>
        </w:tc>
      </w:tr>
      <w:tr>
        <w:tc>
          <w:tcPr>
            <w:tcW w:type="dxa" w:w="1758"/>
          </w:tcPr>
          <w:p>
            <w:pPr>
              <w:spacing w:after="0"/>
            </w:pPr>
            <w:r>
              <w:rPr>
                <w:rFonts w:ascii="Times New Roman" w:hAnsi="Times New Roman"/>
                <w:b w:val="0"/>
                <w:sz w:val="16"/>
              </w:rPr>
              <w:t>Runs without a network</w:t>
            </w:r>
          </w:p>
        </w:tc>
        <w:tc>
          <w:tcPr>
            <w:tcW w:type="dxa" w:w="1758"/>
          </w:tcPr>
          <w:p>
            <w:pPr>
              <w:spacing w:after="0"/>
            </w:pPr>
            <w:r>
              <w:rPr>
                <w:rFonts w:ascii="Times New Roman" w:hAnsi="Times New Roman"/>
                <w:b w:val="0"/>
                <w:sz w:val="16"/>
              </w:rPr>
              <w:t>no</w:t>
            </w:r>
          </w:p>
        </w:tc>
        <w:tc>
          <w:tcPr>
            <w:tcW w:type="dxa" w:w="1758"/>
          </w:tcPr>
          <w:p>
            <w:pPr>
              <w:spacing w:after="0"/>
            </w:pPr>
            <w:r>
              <w:rPr>
                <w:rFonts w:ascii="Times New Roman" w:hAnsi="Times New Roman"/>
                <w:b w:val="0"/>
                <w:sz w:val="16"/>
              </w:rPr>
              <w:t>no</w:t>
            </w:r>
          </w:p>
        </w:tc>
        <w:tc>
          <w:tcPr>
            <w:tcW w:type="dxa" w:w="1758"/>
          </w:tcPr>
          <w:p>
            <w:pPr>
              <w:spacing w:after="0"/>
            </w:pPr>
            <w:r>
              <w:rPr>
                <w:rFonts w:ascii="Times New Roman" w:hAnsi="Times New Roman"/>
                <w:b w:val="0"/>
                <w:sz w:val="16"/>
              </w:rPr>
              <w:t>no</w:t>
            </w:r>
          </w:p>
        </w:tc>
        <w:tc>
          <w:tcPr>
            <w:tcW w:type="dxa" w:w="1758"/>
          </w:tcPr>
          <w:p>
            <w:pPr>
              <w:spacing w:after="0"/>
            </w:pPr>
            <w:r>
              <w:rPr>
                <w:rFonts w:ascii="Times New Roman" w:hAnsi="Times New Roman"/>
                <w:b w:val="0"/>
                <w:sz w:val="16"/>
              </w:rPr>
              <w:t>no</w:t>
            </w:r>
          </w:p>
        </w:tc>
      </w:tr>
      <w:tr>
        <w:tc>
          <w:tcPr>
            <w:tcW w:type="dxa" w:w="1758"/>
          </w:tcPr>
          <w:p>
            <w:pPr>
              <w:spacing w:after="0"/>
            </w:pPr>
            <w:r>
              <w:rPr>
                <w:rFonts w:ascii="Times New Roman" w:hAnsi="Times New Roman"/>
                <w:b w:val="0"/>
                <w:sz w:val="16"/>
              </w:rPr>
              <w:t>Per-answer grounding</w:t>
            </w:r>
          </w:p>
        </w:tc>
        <w:tc>
          <w:tcPr>
            <w:tcW w:type="dxa" w:w="1758"/>
          </w:tcPr>
          <w:p>
            <w:pPr>
              <w:spacing w:after="0"/>
            </w:pPr>
            <w:r>
              <w:rPr>
                <w:rFonts w:ascii="Times New Roman" w:hAnsi="Times New Roman"/>
                <w:b w:val="0"/>
                <w:sz w:val="16"/>
              </w:rPr>
              <w:t>n/d</w:t>
            </w:r>
          </w:p>
        </w:tc>
        <w:tc>
          <w:tcPr>
            <w:tcW w:type="dxa" w:w="1758"/>
          </w:tcPr>
          <w:p>
            <w:pPr>
              <w:spacing w:after="0"/>
            </w:pPr>
            <w:r>
              <w:rPr>
                <w:rFonts w:ascii="Times New Roman" w:hAnsi="Times New Roman"/>
                <w:b w:val="0"/>
                <w:sz w:val="16"/>
              </w:rPr>
              <w:t>n/d</w:t>
            </w:r>
          </w:p>
        </w:tc>
        <w:tc>
          <w:tcPr>
            <w:tcW w:type="dxa" w:w="1758"/>
          </w:tcPr>
          <w:p>
            <w:pPr>
              <w:spacing w:after="0"/>
            </w:pPr>
            <w:r>
              <w:rPr>
                <w:rFonts w:ascii="Times New Roman" w:hAnsi="Times New Roman"/>
                <w:b w:val="0"/>
                <w:sz w:val="16"/>
              </w:rPr>
              <w:t>—</w:t>
            </w:r>
          </w:p>
        </w:tc>
        <w:tc>
          <w:tcPr>
            <w:tcW w:type="dxa" w:w="1758"/>
          </w:tcPr>
          <w:p>
            <w:pPr>
              <w:spacing w:after="0"/>
            </w:pPr>
            <w:r>
              <w:rPr>
                <w:rFonts w:ascii="Times New Roman" w:hAnsi="Times New Roman"/>
                <w:b w:val="0"/>
                <w:sz w:val="16"/>
              </w:rPr>
              <w:t>yes</w:t>
            </w:r>
          </w:p>
        </w:tc>
      </w:tr>
      <w:tr>
        <w:tc>
          <w:tcPr>
            <w:tcW w:type="dxa" w:w="1758"/>
          </w:tcPr>
          <w:p>
            <w:pPr>
              <w:spacing w:after="0"/>
            </w:pPr>
            <w:r>
              <w:rPr>
                <w:rFonts w:ascii="Times New Roman" w:hAnsi="Times New Roman"/>
                <w:b w:val="0"/>
                <w:sz w:val="16"/>
              </w:rPr>
              <w:t>Corpus corruption audit</w:t>
            </w:r>
          </w:p>
        </w:tc>
        <w:tc>
          <w:tcPr>
            <w:tcW w:type="dxa" w:w="1758"/>
          </w:tcPr>
          <w:p>
            <w:pPr>
              <w:spacing w:after="0"/>
            </w:pPr>
            <w:r>
              <w:rPr>
                <w:rFonts w:ascii="Times New Roman" w:hAnsi="Times New Roman"/>
                <w:b w:val="0"/>
                <w:sz w:val="16"/>
              </w:rPr>
              <w:t>n/d</w:t>
            </w:r>
          </w:p>
        </w:tc>
        <w:tc>
          <w:tcPr>
            <w:tcW w:type="dxa" w:w="1758"/>
          </w:tcPr>
          <w:p>
            <w:pPr>
              <w:spacing w:after="0"/>
            </w:pPr>
            <w:r>
              <w:rPr>
                <w:rFonts w:ascii="Times New Roman" w:hAnsi="Times New Roman"/>
                <w:b w:val="0"/>
                <w:sz w:val="16"/>
              </w:rPr>
              <w:t>n/d</w:t>
            </w:r>
          </w:p>
        </w:tc>
        <w:tc>
          <w:tcPr>
            <w:tcW w:type="dxa" w:w="1758"/>
          </w:tcPr>
          <w:p>
            <w:pPr>
              <w:spacing w:after="0"/>
            </w:pPr>
            <w:r>
              <w:rPr>
                <w:rFonts w:ascii="Times New Roman" w:hAnsi="Times New Roman"/>
                <w:b w:val="0"/>
                <w:sz w:val="16"/>
              </w:rPr>
              <w:t>—</w:t>
            </w:r>
          </w:p>
        </w:tc>
        <w:tc>
          <w:tcPr>
            <w:tcW w:type="dxa" w:w="1758"/>
          </w:tcPr>
          <w:p>
            <w:pPr>
              <w:spacing w:after="0"/>
            </w:pPr>
            <w:r>
              <w:rPr>
                <w:rFonts w:ascii="Times New Roman" w:hAnsi="Times New Roman"/>
                <w:b w:val="0"/>
                <w:sz w:val="16"/>
              </w:rPr>
              <w:t>yes</w:t>
            </w:r>
          </w:p>
        </w:tc>
      </w:tr>
      <w:tr>
        <w:tc>
          <w:tcPr>
            <w:tcW w:type="dxa" w:w="1758"/>
          </w:tcPr>
          <w:p>
            <w:pPr>
              <w:spacing w:after="0"/>
            </w:pPr>
            <w:r>
              <w:rPr>
                <w:rFonts w:ascii="Times New Roman" w:hAnsi="Times New Roman"/>
                <w:b w:val="0"/>
                <w:sz w:val="16"/>
              </w:rPr>
              <w:t>Stated memory target</w:t>
            </w:r>
          </w:p>
        </w:tc>
        <w:tc>
          <w:tcPr>
            <w:tcW w:type="dxa" w:w="1758"/>
          </w:tcPr>
          <w:p>
            <w:pPr>
              <w:spacing w:after="0"/>
            </w:pPr>
            <w:r>
              <w:rPr>
                <w:rFonts w:ascii="Times New Roman" w:hAnsi="Times New Roman"/>
                <w:b w:val="0"/>
                <w:sz w:val="16"/>
              </w:rPr>
              <w:t>n/d</w:t>
            </w:r>
          </w:p>
        </w:tc>
        <w:tc>
          <w:tcPr>
            <w:tcW w:type="dxa" w:w="1758"/>
          </w:tcPr>
          <w:p>
            <w:pPr>
              <w:spacing w:after="0"/>
            </w:pPr>
            <w:r>
              <w:rPr>
                <w:rFonts w:ascii="Times New Roman" w:hAnsi="Times New Roman"/>
                <w:b w:val="0"/>
                <w:sz w:val="16"/>
              </w:rPr>
              <w:t>n/d</w:t>
            </w:r>
          </w:p>
        </w:tc>
        <w:tc>
          <w:tcPr>
            <w:tcW w:type="dxa" w:w="1758"/>
          </w:tcPr>
          <w:p>
            <w:pPr>
              <w:spacing w:after="0"/>
            </w:pPr>
            <w:r>
              <w:rPr>
                <w:rFonts w:ascii="Times New Roman" w:hAnsi="Times New Roman"/>
                <w:b w:val="0"/>
                <w:sz w:val="16"/>
              </w:rPr>
              <w:t>n/d</w:t>
            </w:r>
          </w:p>
        </w:tc>
        <w:tc>
          <w:tcPr>
            <w:tcW w:type="dxa" w:w="1758"/>
          </w:tcPr>
          <w:p>
            <w:pPr>
              <w:spacing w:after="0"/>
            </w:pPr>
            <w:r>
              <w:rPr>
                <w:rFonts w:ascii="Times New Roman" w:hAnsi="Times New Roman"/>
                <w:b w:val="0"/>
                <w:sz w:val="16"/>
              </w:rPr>
              <w:t>4 GB</w:t>
            </w:r>
          </w:p>
        </w:tc>
      </w:tr>
      <w:tr>
        <w:tc>
          <w:tcPr>
            <w:tcW w:type="dxa" w:w="1758"/>
          </w:tcPr>
          <w:p>
            <w:pPr>
              <w:spacing w:after="0"/>
            </w:pPr>
            <w:r>
              <w:rPr>
                <w:rFonts w:ascii="Times New Roman" w:hAnsi="Times New Roman"/>
                <w:b w:val="0"/>
                <w:sz w:val="16"/>
              </w:rPr>
              <w:t>Tutoring function</w:t>
            </w:r>
          </w:p>
        </w:tc>
        <w:tc>
          <w:tcPr>
            <w:tcW w:type="dxa" w:w="1758"/>
          </w:tcPr>
          <w:p>
            <w:pPr>
              <w:spacing w:after="0"/>
            </w:pPr>
            <w:r>
              <w:rPr>
                <w:rFonts w:ascii="Times New Roman" w:hAnsi="Times New Roman"/>
                <w:b w:val="0"/>
                <w:sz w:val="16"/>
              </w:rPr>
              <w:t>yes</w:t>
            </w:r>
          </w:p>
        </w:tc>
        <w:tc>
          <w:tcPr>
            <w:tcW w:type="dxa" w:w="1758"/>
          </w:tcPr>
          <w:p>
            <w:pPr>
              <w:spacing w:after="0"/>
            </w:pPr>
            <w:r>
              <w:rPr>
                <w:rFonts w:ascii="Times New Roman" w:hAnsi="Times New Roman"/>
                <w:b w:val="0"/>
                <w:sz w:val="16"/>
              </w:rPr>
              <w:t>yes</w:t>
            </w:r>
          </w:p>
        </w:tc>
        <w:tc>
          <w:tcPr>
            <w:tcW w:type="dxa" w:w="1758"/>
          </w:tcPr>
          <w:p>
            <w:pPr>
              <w:spacing w:after="0"/>
            </w:pPr>
            <w:r>
              <w:rPr>
                <w:rFonts w:ascii="Times New Roman" w:hAnsi="Times New Roman"/>
                <w:b w:val="0"/>
                <w:sz w:val="16"/>
              </w:rPr>
              <w:t>no</w:t>
            </w:r>
          </w:p>
        </w:tc>
        <w:tc>
          <w:tcPr>
            <w:tcW w:type="dxa" w:w="1758"/>
          </w:tcPr>
          <w:p>
            <w:pPr>
              <w:spacing w:after="0"/>
            </w:pPr>
            <w:r>
              <w:rPr>
                <w:rFonts w:ascii="Times New Roman" w:hAnsi="Times New Roman"/>
                <w:b w:val="0"/>
                <w:sz w:val="16"/>
              </w:rPr>
              <w:t>yes</w:t>
            </w:r>
          </w:p>
        </w:tc>
      </w:tr>
    </w:tbl>
    <w:p>
      <w:pPr>
        <w:spacing w:after="120"/>
      </w:pPr>
    </w:p>
    <w:p>
      <w:pPr>
        <w:spacing w:after="0"/>
        <w:ind w:firstLine="0"/>
      </w:pPr>
      <w:r>
        <w:t>Three rows are stated against our own interest: generation is not local, the system needs a network, and BYJU'S covers the curriculum at a scale this work does not approach.</w:t>
      </w:r>
    </w:p>
    <w:p>
      <w:pPr>
        <w:spacing w:after="0"/>
        <w:ind w:firstLine="0"/>
      </w:pPr>
      <w:r>
        <w:t>The second comparison is internal and is the one that carries the result, because it holds everything constant except the component under test. It is given across the five configurations of Table III and the seven topics of Table IV, and it is not based on a single set of inputs: 77 queries in eleven languages across seven subjects, with each configuration run over all of them.</w:t>
      </w:r>
    </w:p>
    <w:p>
      <w:pPr>
        <w:spacing w:after="0"/>
        <w:ind w:firstLine="0"/>
      </w:pPr>
      <w:r>
        <w:t>A third comparison was run and produced a negative result. Adding a cross-encoder re-ranker to the deployed configuration, over the same queries and the same candidate lists, scores 65 of 77 against 67 without it, promoting seven queries to rank one and demoting nine.</w:t>
      </w:r>
    </w:p>
    <w:p>
      <w:pPr>
        <w:spacing w:before="240" w:after="120"/>
        <w:jc w:val="center"/>
      </w:pPr>
      <w:r>
        <w:rPr>
          <w:rFonts w:ascii="Times New Roman" w:hAnsi="Times New Roman"/>
          <w:b/>
          <w:sz w:val="20"/>
        </w:rPr>
        <w:t>XIII.  Justification of the Results</w:t>
      </w:r>
    </w:p>
    <w:p>
      <w:pPr>
        <w:spacing w:after="0"/>
        <w:ind w:firstLine="0"/>
      </w:pPr>
      <w:r>
        <w:t>The lexical result is justified by the mechanism rather than by the count. A Devanagari, Tamil or Perso-Arabic query tokenises to symbols that do not occur in an English inverted index, so there is nothing for the ranking function to score. That is why the interval is [0.000, 0.048] and why supplying an English rewrite lifts the same method to 55% immediately. Karpukhin et al. report dense retrieval as better than BM25 within a language; across scripts the relationship is not better but categorical, and the mechanism explains why.</w:t>
      </w:r>
    </w:p>
    <w:p>
      <w:pPr>
        <w:spacing w:after="0"/>
        <w:ind w:firstLine="0"/>
      </w:pPr>
      <w:r>
        <w:t>The rewriting result is justified by where the gain lands. If rewriting helped uniformly it would suggest a general quality effect. It does not: the gain is concentrated on compound terms, 2 of 11 to 10 of 11 on photosynthesis, while on the eye, whose name is ordinary vocabulary, rewriting is worse than direct embedding at 5 of 11 against 9. That pattern is consistent with the stated mechanism, that the rewrite normalises a compound the embedder decomposes into the wrong constituents, and inconsistent with a general improvement.</w:t>
      </w:r>
    </w:p>
    <w:p>
      <w:pPr>
        <w:spacing w:after="0"/>
        <w:ind w:firstLine="0"/>
      </w:pPr>
      <w:r>
        <w:t>The grounding separation of 0.360 is justified by reproducing it outside the embedding space that produced it. BGE-M3 both retrieved these passages and scored them, so the separation could be a property of one model's geometry. Repeating the measurement with character n-gram TF-IDF and with a second encoder family reproduces the separation, so it is a property of the answers.</w:t>
      </w:r>
    </w:p>
    <w:p>
      <w:pPr>
        <w:spacing w:before="160"/>
        <w:jc w:val="center"/>
      </w:pPr>
      <w:r>
        <w:drawing>
          <wp:inline xmlns:a="http://schemas.openxmlformats.org/drawingml/2006/main" xmlns:pic="http://schemas.openxmlformats.org/drawingml/2006/picture">
            <wp:extent cx="4023360" cy="1302829"/>
            <wp:docPr id="4" name="Picture 4"/>
            <wp:cNvGraphicFramePr>
              <a:graphicFrameLocks noChangeAspect="1"/>
            </wp:cNvGraphicFramePr>
            <a:graphic>
              <a:graphicData uri="http://schemas.openxmlformats.org/drawingml/2006/picture">
                <pic:pic>
                  <pic:nvPicPr>
                    <pic:cNvPr id="0" name="img4.png"/>
                    <pic:cNvPicPr/>
                  </pic:nvPicPr>
                  <pic:blipFill>
                    <a:blip r:embed="rId12"/>
                    <a:stretch>
                      <a:fillRect/>
                    </a:stretch>
                  </pic:blipFill>
                  <pic:spPr>
                    <a:xfrm>
                      <a:off x="0" y="0"/>
                      <a:ext cx="4023360" cy="1302829"/>
                    </a:xfrm>
                    <a:prstGeom prst="rect"/>
                  </pic:spPr>
                </pic:pic>
              </a:graphicData>
            </a:graphic>
          </wp:inline>
        </w:drawing>
      </w:r>
    </w:p>
    <w:p>
      <w:pPr>
        <w:spacing w:after="200"/>
        <w:jc w:val="center"/>
      </w:pPr>
      <w:r>
        <w:rPr>
          <w:rFonts w:ascii="Times New Roman" w:hAnsi="Times New Roman"/>
          <w:sz w:val="16"/>
        </w:rPr>
        <w:t>Figure 4.  Four grounding estimators over 16 matched and 240 mismatched answer-passage pairs, with one standard deviation. Concatenated passages separate the populations by 0.360.</w:t>
      </w:r>
    </w:p>
    <w:p>
      <w:pPr>
        <w:spacing w:after="0"/>
        <w:ind w:firstLine="0"/>
      </w:pPr>
      <w:r>
        <w:t>The memory result is justified by the method of measurement. Component sizes summed arithmetically gave 1,600 MB; the kernel reports a peak resident set of 2,094 MB for the same pipeline, because loading a model costs more than the weights it ends up holding. The reported figure is the measured one.</w:t>
      </w:r>
    </w:p>
    <w:p>
      <w:pPr>
        <w:spacing w:after="0"/>
        <w:ind w:firstLine="0"/>
      </w:pPr>
      <w:r>
        <w:t>Two limitations bound all of this. The grounding negatives are constructed by mismatching answers to other questions' passages rather than collected from observed hallucinations, so they capture topical drift and not fluent fabrication within the right topic. And there is no human evaluation: no teacher or student has assessed whether a retrieved passage actually helps a learner, which is the question a tutoring system exists to answer.</w:t>
      </w:r>
    </w:p>
    <w:p>
      <w:pPr>
        <w:spacing w:before="240" w:after="120"/>
        <w:jc w:val="center"/>
      </w:pPr>
      <w:r>
        <w:rPr>
          <w:rFonts w:ascii="Times New Roman" w:hAnsi="Times New Roman"/>
          <w:b/>
          <w:sz w:val="20"/>
        </w:rPr>
        <w:t>XIV.  Conclusion</w:t>
      </w:r>
    </w:p>
    <w:p>
      <w:pPr>
        <w:spacing w:after="0"/>
        <w:ind w:firstLine="0"/>
      </w:pPr>
      <w:r>
        <w:t>This paper presented Shiksha Setu, a tutoring platform whose corpus, embeddings and retrieval run on the user's own machine and whose generation is a hosted call, with the boundary stated rather than blurred. The evaluation rests on 155 ingested textbooks and 43,621 indexed passages spanning all twelve classes.</w:t>
      </w:r>
    </w:p>
    <w:p>
      <w:pPr>
        <w:spacing w:after="0"/>
        <w:ind w:firstLine="0"/>
      </w:pPr>
      <w:r>
        <w:t>Four results are reported. A lexical baseline retrieves correctly for none of 77 cross-lingual queries, which is a structural failure rather than a weak score. Rewriting a question into English before embedding it gains nineteen queries over embedding it directly, 66 of 77 against 47, and that gain is concentrated on morphologically compound terms. Half-precision inference halves the embedding footprint to 1,083 MB at a mean cosine fidelity of 0.999998, bringing the serving pipeline inside a 4 GB budget verified by kernel-level measurement. And ingestion detects a legacy-font defect that renders 66% of Hindi textbooks as Latin gibberish while reporting successful extraction.</w:t>
      </w:r>
    </w:p>
    <w:p>
      <w:pPr>
        <w:spacing w:after="0"/>
        <w:ind w:firstLine="0"/>
      </w:pPr>
      <w:r>
        <w:t>A cross-encoder re-ranker, the standard remedy for imperfect ranking, was measured rather than assumed and is excluded on the result: it lowers accuracy from 67 to 65 of 77 and does not fit beside the embedder on the target device.</w:t>
      </w:r>
    </w:p>
    <w:p>
      <w:pPr>
        <w:spacing w:before="240" w:after="120"/>
        <w:jc w:val="center"/>
      </w:pPr>
      <w:r>
        <w:rPr>
          <w:rFonts w:ascii="Times New Roman" w:hAnsi="Times New Roman"/>
          <w:b/>
          <w:sz w:val="20"/>
        </w:rPr>
        <w:t>XV.  Future Work</w:t>
      </w:r>
    </w:p>
    <w:p>
      <w:pPr>
        <w:spacing w:after="0"/>
        <w:ind w:firstLine="0"/>
      </w:pPr>
      <w:r>
        <w:t>The most consequential gap is the absence of human evaluation. A pilot with practising teachers, measuring whether a retrieved passage helps a learner rather than whether it is on topic, would test the claim this system actually makes.</w:t>
      </w:r>
    </w:p>
    <w:p>
      <w:pPr>
        <w:spacing w:after="0"/>
        <w:ind w:firstLine="0"/>
      </w:pPr>
      <w:r>
        <w:t>Three narrower directions follow from the results. The grounding negatives should be drawn from observed hallucinations rather than constructed by mismatching, so the metric is calibrated against the failure it is meant to catch. The query set should grow beyond 77, which needs native speakers of eleven languages rather than compute. And the single query that fails in every configuration, Urdu photosynthesis, points at a class of Perso-Arabic technical vocabulary that shares no root with either English or the Sanskrit-derived compounds the other ten languages use; whether a targeted lexicon closes that gap is an open question.</w:t>
      </w:r>
    </w:p>
    <w:p>
      <w:pPr>
        <w:spacing w:before="240" w:after="120"/>
        <w:jc w:val="center"/>
      </w:pPr>
      <w:r>
        <w:rPr>
          <w:rFonts w:ascii="Times New Roman" w:hAnsi="Times New Roman"/>
          <w:b/>
          <w:sz w:val="20"/>
        </w:rPr>
        <w:t>XVI.  References</w:t>
      </w:r>
    </w:p>
    <w:p>
      <w:pPr>
        <w:spacing w:after="0"/>
        <w:ind w:left="454" w:hanging="454"/>
      </w:pPr>
      <w:r>
        <w:rPr>
          <w:rFonts w:ascii="Times New Roman" w:hAnsi="Times New Roman"/>
          <w:sz w:val="16"/>
        </w:rPr>
        <w:t>[1]  P. Lewis et al., “Retrieval-augmented generation for knowledge-intensive NLP tasks,” in Proc. NeurIPS, 2020.</w:t>
      </w:r>
    </w:p>
    <w:p>
      <w:pPr>
        <w:spacing w:after="0"/>
        <w:ind w:left="454" w:hanging="454"/>
      </w:pPr>
      <w:r>
        <w:rPr>
          <w:rFonts w:ascii="Times New Roman" w:hAnsi="Times New Roman"/>
          <w:sz w:val="16"/>
        </w:rPr>
        <w:t>[2]  V. Karpukhin et al., “Dense passage retrieval for open-domain question answering,” in Proc. EMNLP, 2020, pp. 6769–6781.</w:t>
      </w:r>
    </w:p>
    <w:p>
      <w:pPr>
        <w:spacing w:after="0"/>
        <w:ind w:left="454" w:hanging="454"/>
      </w:pPr>
      <w:r>
        <w:rPr>
          <w:rFonts w:ascii="Times New Roman" w:hAnsi="Times New Roman"/>
          <w:sz w:val="16"/>
        </w:rPr>
        <w:t>[3]  X. Ma, Y. Gong, P. He, H. Zhao and N. Duan, “Query rewriting for retrieval-augmented large language models,” in Proc. EMNLP, 2023.</w:t>
      </w:r>
    </w:p>
    <w:p>
      <w:pPr>
        <w:spacing w:after="0"/>
        <w:ind w:left="454" w:hanging="454"/>
      </w:pPr>
      <w:r>
        <w:rPr>
          <w:rFonts w:ascii="Times New Roman" w:hAnsi="Times New Roman"/>
          <w:sz w:val="16"/>
        </w:rPr>
        <w:t>[4]  R. Nogueira and K. Cho, “Passage re-ranking with BERT,” arXiv:1901.04085, 2019.</w:t>
      </w:r>
    </w:p>
    <w:p>
      <w:pPr>
        <w:spacing w:after="0"/>
        <w:ind w:left="454" w:hanging="454"/>
      </w:pPr>
      <w:r>
        <w:rPr>
          <w:rFonts w:ascii="Times New Roman" w:hAnsi="Times New Roman"/>
          <w:sz w:val="16"/>
        </w:rPr>
        <w:t>[5]  J. Chen, S. Xiao, P. Zhang, K. Luo, D. Lian and Z. Liu, “BGE M3-Embedding: multi-lingual, multi-granularity text embeddings via self-knowledge distillation,” arXiv:2402.03216, 2024.</w:t>
      </w:r>
    </w:p>
    <w:p>
      <w:pPr>
        <w:spacing w:after="0"/>
        <w:ind w:left="454" w:hanging="454"/>
      </w:pPr>
      <w:r>
        <w:rPr>
          <w:rFonts w:ascii="Times New Roman" w:hAnsi="Times New Roman"/>
          <w:sz w:val="16"/>
        </w:rPr>
        <w:t>[6]  A. Gala et al., “IndicTrans2: accessible machine translation for all 22 scheduled Indian languages,” Trans. Mach. Learn. Res., 2023.</w:t>
      </w:r>
    </w:p>
    <w:p>
      <w:pPr>
        <w:spacing w:after="0"/>
        <w:ind w:left="454" w:hanging="454"/>
      </w:pPr>
      <w:r>
        <w:rPr>
          <w:rFonts w:ascii="Times New Roman" w:hAnsi="Times New Roman"/>
          <w:sz w:val="16"/>
        </w:rPr>
        <w:t>[7]  S. Khanuja et al., “MuRIL: multilingual representations for Indian languages,” 2021.</w:t>
      </w:r>
    </w:p>
    <w:p>
      <w:pPr>
        <w:spacing w:after="0"/>
        <w:ind w:left="454" w:hanging="454"/>
      </w:pPr>
      <w:r>
        <w:rPr>
          <w:rFonts w:ascii="Times New Roman" w:hAnsi="Times New Roman"/>
          <w:sz w:val="16"/>
        </w:rPr>
        <w:t>[8]  D. Kakwani et al., “IndicNLPSuite: corpora, benchmarks and pre-trained models for Indian languages,” in Findings of EMNLP, 2020.</w:t>
      </w:r>
    </w:p>
    <w:p>
      <w:pPr>
        <w:spacing w:after="0"/>
        <w:ind w:left="454" w:hanging="454"/>
      </w:pPr>
      <w:r>
        <w:rPr>
          <w:rFonts w:ascii="Times New Roman" w:hAnsi="Times New Roman"/>
          <w:sz w:val="16"/>
        </w:rPr>
        <w:t>[9]  Z. Xu et al., “Multilingual retrieval-augmented generation for knowledge-intensive task,” arXiv:2504.03616, 2025.</w:t>
      </w:r>
    </w:p>
    <w:p>
      <w:pPr>
        <w:spacing w:after="0"/>
        <w:ind w:left="454" w:hanging="454"/>
      </w:pPr>
      <w:r>
        <w:rPr>
          <w:rFonts w:ascii="Times New Roman" w:hAnsi="Times New Roman"/>
          <w:sz w:val="16"/>
        </w:rPr>
        <w:t>[10]  Y. Chen et al., “Language drift in multilingual RAG: characterization and decoding-time mitigation,” arXiv:2511.09984, 2025.</w:t>
      </w:r>
    </w:p>
    <w:p>
      <w:pPr>
        <w:spacing w:after="0"/>
        <w:ind w:left="454" w:hanging="454"/>
      </w:pPr>
      <w:r>
        <w:rPr>
          <w:rFonts w:ascii="Times New Roman" w:hAnsi="Times New Roman"/>
          <w:sz w:val="16"/>
        </w:rPr>
        <w:t>[11]  Y. A. Malkov and D. A. Yashunin, “Efficient and robust approximate nearest neighbor search using HNSW graphs,” IEEE Trans. Pattern Anal. Mach. Intell., vol. 42, no. 4, pp. 824–836, 2020.</w:t>
      </w:r>
    </w:p>
    <w:p>
      <w:pPr>
        <w:spacing w:after="0"/>
        <w:ind w:left="454" w:hanging="454"/>
      </w:pPr>
      <w:r>
        <w:rPr>
          <w:rFonts w:ascii="Times New Roman" w:hAnsi="Times New Roman"/>
          <w:sz w:val="16"/>
        </w:rPr>
        <w:t>[12]  N. Reimers and I. Gurevych, “Sentence-BERT: sentence embeddings using Siamese BERT-networks,” in Proc. EMNLP, 2019, pp. 3982–3992.</w:t>
      </w:r>
    </w:p>
    <w:p>
      <w:pPr>
        <w:spacing w:after="0"/>
        <w:ind w:left="454" w:hanging="454"/>
      </w:pPr>
      <w:r>
        <w:rPr>
          <w:rFonts w:ascii="Times New Roman" w:hAnsi="Times New Roman"/>
          <w:sz w:val="16"/>
        </w:rPr>
        <w:t>[13]  P. Micikevicius et al., “Mixed precision training,” in Proc. ICLR, 2018.</w:t>
      </w:r>
    </w:p>
    <w:p>
      <w:pPr>
        <w:spacing w:after="0"/>
        <w:ind w:left="454" w:hanging="454"/>
      </w:pPr>
      <w:r>
        <w:rPr>
          <w:rFonts w:ascii="Times New Roman" w:hAnsi="Times New Roman"/>
          <w:sz w:val="16"/>
        </w:rPr>
        <w:t>[14]  S. Robertson and H. Zaragoza, “The probabilistic relevance framework: BM25 and beyond,” Found. Trends Inf. Retr., vol. 3, no. 4, pp. 333–389, 2009.</w:t>
      </w:r>
    </w:p>
    <w:p>
      <w:pPr>
        <w:spacing w:after="0"/>
        <w:ind w:left="454" w:hanging="454"/>
      </w:pPr>
      <w:r>
        <w:rPr>
          <w:rFonts w:ascii="Times New Roman" w:hAnsi="Times New Roman"/>
          <w:sz w:val="16"/>
        </w:rPr>
        <w:t>[15]  E. B. Wilson, “Probable inference, the law of succession, and statistical inference,” J. Amer. Statist. Assoc., vol. 22, no. 158, pp. 209–212, 1927.</w:t>
      </w:r>
    </w:p>
    <w:p>
      <w:pPr>
        <w:spacing w:after="0"/>
        <w:ind w:left="454" w:hanging="454"/>
      </w:pPr>
      <w:r>
        <w:rPr>
          <w:rFonts w:ascii="Times New Roman" w:hAnsi="Times New Roman"/>
          <w:sz w:val="16"/>
        </w:rPr>
        <w:t>[16]  S. Es, J. James, L. Espinosa-Anke and S. Schockaert, “RAGAs: automated evaluation of retrieval augmented generation,” in Proc. EACL: System Demonstrations, 2024, pp. 150–158.</w:t>
      </w:r>
    </w:p>
    <w:p>
      <w:pPr>
        <w:spacing w:after="0"/>
        <w:ind w:left="454" w:hanging="454"/>
      </w:pPr>
      <w:r>
        <w:rPr>
          <w:rFonts w:ascii="Times New Roman" w:hAnsi="Times New Roman"/>
          <w:sz w:val="16"/>
        </w:rPr>
        <w:t>[17]  Y. Gao et al., “Retrieval-augmented generation for large language models: a survey,” arXiv:2312.10997, 2023.</w:t>
      </w:r>
    </w:p>
    <w:p>
      <w:pPr>
        <w:spacing w:after="0"/>
        <w:ind w:left="454" w:hanging="454"/>
      </w:pPr>
      <w:r>
        <w:rPr>
          <w:rFonts w:ascii="Times New Roman" w:hAnsi="Times New Roman"/>
          <w:sz w:val="16"/>
        </w:rPr>
        <w:t>[18]  Z. Ji et al., “Survey of hallucination in natural language generation,” ACM Comput. Surv., vol. 55, no. 12, art. 248, 2023.</w:t>
      </w:r>
    </w:p>
    <w:p>
      <w:pPr>
        <w:spacing w:after="0"/>
        <w:ind w:left="454" w:hanging="454"/>
      </w:pPr>
      <w:r>
        <w:rPr>
          <w:rFonts w:ascii="Times New Roman" w:hAnsi="Times New Roman"/>
          <w:sz w:val="16"/>
        </w:rPr>
        <w:t>[19]  Khan Academy, “Khanmigo: an AI tutor for learners and assistant for teachers,” 2023. [Online]. Available: khanmigo.ai</w:t>
      </w:r>
    </w:p>
    <w:p>
      <w:pPr>
        <w:spacing w:after="0"/>
        <w:ind w:left="454" w:hanging="454"/>
      </w:pPr>
      <w:r>
        <w:rPr>
          <w:rFonts w:ascii="Times New Roman" w:hAnsi="Times New Roman"/>
          <w:sz w:val="16"/>
        </w:rPr>
        <w:t>[20]  Ministry of Electronics and Information Technology, Government of India, “BHASHINI: National Language Translation Mission,” 2022. [Online]. Available: bhashini.gov.in</w:t>
      </w:r>
    </w:p>
    <w:p>
      <w:pPr>
        <w:spacing w:after="0"/>
        <w:ind w:left="454" w:hanging="454"/>
      </w:pPr>
      <w:r>
        <w:rPr>
          <w:rFonts w:ascii="Times New Roman" w:hAnsi="Times New Roman"/>
          <w:sz w:val="16"/>
        </w:rPr>
        <w:t>[21]  Department of School Education and Literacy, “UDISE+ 2024–25 report,” Ministry of Education, India, 2025.</w:t>
      </w:r>
    </w:p>
    <w:p>
      <w:pPr>
        <w:spacing w:after="0"/>
        <w:ind w:left="454" w:hanging="454"/>
      </w:pPr>
      <w:r>
        <w:rPr>
          <w:rFonts w:ascii="Times New Roman" w:hAnsi="Times New Roman"/>
          <w:sz w:val="16"/>
        </w:rPr>
        <w:t>[22]  Registrar General of India, “Census of India 2011, Table C-17: bilingualism and trilingualism,” 2011.</w:t>
      </w:r>
    </w:p>
    <w:sectPr w:rsidR="00FC693F" w:rsidRPr="0006063C" w:rsidSect="00034616">
      <w:pgSz w:w="11906" w:h="16838"/>
      <w:pgMar w:top="1843" w:right="1417" w:bottom="184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