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4E78"/>
          <w:sz w:val="32"/>
          <w:szCs w:val="32"/>
        </w:rPr>
        <w:t xml:space="preserve">DAILY SALES &amp; MARKETING PROSPECTING REPORT</w:t>
      </w:r>
    </w:p>
    <w:p>
      <w:pPr>
        <w:jc w:val="center"/>
      </w:pPr>
      <w:r>
        <w:rPr>
          <w:color w:val="666666"/>
          <w:sz w:val="24"/>
          <w:szCs w:val="24"/>
        </w:rPr>
        <w:t xml:space="preserve">Education Foundations Prospecting</w:t>
      </w:r>
    </w:p>
    <w:p>
      <w:pPr>
        <w:spacing w:after="240"/>
        <w:jc w:val="center"/>
      </w:pPr>
      <w:r>
        <w:rPr>
          <w:color w:val="999999"/>
          <w:sz w:val="20"/>
          <w:szCs w:val="20"/>
        </w:rPr>
        <w:t xml:space="preserve">May 10, 2026</w:t>
      </w:r>
    </w:p>
    <w:p>
      <w:pPr>
        <w:pStyle w:val="Heading1"/>
      </w:pPr>
      <w:r>
        <w:t xml:space="preserve">Executive Summary</w:t>
      </w:r>
    </w:p>
    <w:p>
      <w:pPr>
        <w:spacing w:after="200"/>
      </w:pPr>
      <w:r>
        <w:t xml:space="preserve">Five high-potential education foundations have been identified for partnership development. These organizations operate comprehensive multi-level school systems with significant technology integration opportunities. All targets demonstrate strong institutional capacity and alignment with Arunika&amp;#x2019;s ERP solutions.</w:t>
      </w:r>
    </w:p>
    <w:p>
      <w:pPr>
        <w:pStyle w:val="Heading2"/>
      </w:pPr>
      <w:r>
        <w:t xml:space="preserve">Key Findings</w:t>
      </w:r>
    </w:p>
    <w:p>
      <w:pPr>
        <w:pStyle w:val="ListParagraph"/>
        <w:numPr>
          <w:ilvl w:val="0"/>
          <w:numId w:val="2"/>
        </w:numPr>
      </w:pPr>
      <w:r>
        <w:t xml:space="preserve">Total Targets Identified: 5 foundations</w:t>
      </w:r>
    </w:p>
    <w:p>
      <w:pPr>
        <w:pStyle w:val="ListParagraph"/>
        <w:numPr>
          <w:ilvl w:val="0"/>
          <w:numId w:val="2"/>
        </w:numPr>
      </w:pPr>
      <w:r>
        <w:t xml:space="preserve">High-Potential Opportunities: 4 (Bunda Mulia, BINUS, Sampoerna, Tarakanita)</w:t>
      </w:r>
    </w:p>
    <w:p>
      <w:pPr>
        <w:pStyle w:val="ListParagraph"/>
        <w:numPr>
          <w:ilvl w:val="0"/>
          <w:numId w:val="2"/>
        </w:numPr>
      </w:pPr>
      <w:r>
        <w:t xml:space="preserve">Combined School Network: 120+ schools across Indonesia</w:t>
      </w:r>
    </w:p>
    <w:p>
      <w:pPr>
        <w:pStyle w:val="ListParagraph"/>
        <w:numPr>
          <w:ilvl w:val="0"/>
          <w:numId w:val="2"/>
        </w:numPr>
        <w:spacing w:after="200"/>
      </w:pPr>
      <w:r>
        <w:t xml:space="preserve">Regional Coverage: Jakarta, Semarang, Surabaya, nationwide</w:t>
      </w:r>
    </w:p>
    <w:p>
      <w:pPr>
        <w:pStyle w:val="Heading2"/>
      </w:pPr>
      <w:r>
        <w:t xml:space="preserve">Target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Foundation</w:t>
            </w:r>
          </w:p>
        </w:tc>
        <w:tc>
          <w:tcPr>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Schools</w:t>
            </w:r>
          </w:p>
        </w:tc>
        <w:tc>
          <w:tcPr>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Potential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Bunda Mulia (YPBM)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Multi-level Jakarta</w:t>
            </w:r>
          </w:p>
        </w:tc>
        <w:tc>
          <w:tcPr>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color w:val="006100"/>
              </w:rPr>
              <w:t xml:space="preserve">HIGH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BINUS School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locations</w:t>
            </w:r>
          </w:p>
        </w:tc>
        <w:tc>
          <w:tcPr>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color w:val="006100"/>
              </w:rPr>
              <w:t xml:space="preserve">HIGH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Semesta Bilingual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Semarang</w:t>
            </w:r>
          </w:p>
        </w:tc>
        <w:tc>
          <w:tcPr>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bCs/>
                <w:color w:val="9C6500"/>
              </w:rPr>
              <w:t xml:space="preserve">MED-HIGH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Sampoerna Academy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PAUD-University</w:t>
            </w:r>
          </w:p>
        </w:tc>
        <w:tc>
          <w:tcPr>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color w:val="006100"/>
              </w:rPr>
              <w:t xml:space="preserve">HIGH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Tarakanita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 schools</w:t>
            </w:r>
          </w:p>
        </w:tc>
        <w:tc>
          <w:tcPr>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color w:val="006100"/>
              </w:rPr>
              <w:t xml:space="preserve">HIGH</w:t>
            </w:r>
          </w:p>
        </w:tc>
      </w:tr>
    </w:tbl>
    <w:p>
      <w:pPr>
        <w:spacing w:after="200"/>
      </w:pPr>
      <w:r>
        <w:t xml:space="preserve"/>
      </w:r>
    </w:p>
    <w:p>
      <w:pPr>
        <w:pStyle w:val="Heading2"/>
      </w:pPr>
      <w:r>
        <w:t xml:space="preserve">Recommended Next Steps</w:t>
      </w:r>
    </w:p>
    <w:p>
      <w:pPr>
        <w:pStyle w:val="ListParagraph"/>
        <w:numPr>
          <w:ilvl w:val="0"/>
          <w:numId w:val="3"/>
        </w:numPr>
      </w:pPr>
      <w:r>
        <w:t xml:space="preserve">Schedule executive briefing presentations for Q2 2026</w:t>
      </w:r>
    </w:p>
    <w:p>
      <w:pPr>
        <w:pStyle w:val="ListParagraph"/>
        <w:numPr>
          <w:ilvl w:val="0"/>
          <w:numId w:val="3"/>
        </w:numPr>
      </w:pPr>
      <w:r>
        <w:t xml:space="preserve">Prepare case studies on multi-campus ERP deployments</w:t>
      </w:r>
    </w:p>
    <w:p>
      <w:pPr>
        <w:pStyle w:val="ListParagraph"/>
        <w:numPr>
          <w:ilvl w:val="0"/>
          <w:numId w:val="3"/>
        </w:numPr>
      </w:pPr>
      <w:r>
        <w:t xml:space="preserve">Develop partnership proposals highlighting cost-per-school metrics</w:t>
      </w:r>
    </w:p>
    <w:p>
      <w:pPr>
        <w:pStyle w:val="ListParagraph"/>
        <w:numPr>
          <w:ilvl w:val="0"/>
          <w:numId w:val="3"/>
        </w:numPr>
        <w:spacing w:after="200"/>
      </w:pPr>
      <w:r>
        <w:t xml:space="preserve">Initiate contact with Tarakanita (largest network) as priority engagement</w:t>
      </w:r>
    </w:p>
    <w:p>
      <w:pPr>
        <w:pStyle w:val="Heading1"/>
      </w:pPr>
      <w:r>
        <w:t xml:space="preserve">Detailed Foundation Profiles</w:t>
      </w:r>
    </w:p>
    <w:p>
      <w:pPr>
        <w:pStyle w:val="Heading2"/>
      </w:pPr>
      <w:r>
        <w:t xml:space="preserve">1. Yayasan Pendidikan Bunda Mulia (YPBM)</w:t>
      </w:r>
    </w:p>
    <w:p>
      <w:pPr>
        <w:spacing w:after="100"/>
      </w:pPr>
      <w:r>
        <w:rPr>
          <w:b/>
          <w:bCs/>
        </w:rPr>
        <w:t xml:space="preserve">Website:</w:t>
      </w:r>
      <w:r>
        <w:t xml:space="preserve"> bundamulia.sch.id</w:t>
      </w:r>
    </w:p>
    <w:p>
      <w:pPr>
        <w:spacing w:after="100"/>
      </w:pPr>
      <w:r>
        <w:rPr>
          <w:b/>
          <w:bCs/>
        </w:rPr>
        <w:t xml:space="preserve">Contact:</w:t>
      </w:r>
      <w:r>
        <w:t xml:space="preserve"> officialsbm@sbm.sch.id | +62 21 6329005</w:t>
      </w:r>
    </w:p>
    <w:p>
      <w:pPr>
        <w:spacing w:after="200"/>
      </w:pPr>
      <w:r>
        <w:t xml:space="preserve">Established 1986 as a multi-level institution offering Cambridge International Curriculum. Key institutional player with university-level operations. Strong strategic value due to multi-campus coordination needs and international standards alignment.</w:t>
      </w:r>
    </w:p>
    <w:p>
      <w:pPr>
        <w:pStyle w:val="Heading2"/>
      </w:pPr>
      <w:r>
        <w:t xml:space="preserve">2. Yayasan Bina Nusantara (BINUS School)</w:t>
      </w:r>
    </w:p>
    <w:p>
      <w:pPr>
        <w:spacing w:after="100"/>
      </w:pPr>
      <w:r>
        <w:rPr>
          <w:b/>
          <w:bCs/>
        </w:rPr>
        <w:t xml:space="preserve">Website:</w:t>
      </w:r>
      <w:r>
        <w:t xml:space="preserve"> binus.sch.id</w:t>
      </w:r>
    </w:p>
    <w:p>
      <w:pPr>
        <w:spacing w:after="100"/>
      </w:pPr>
      <w:r>
        <w:rPr>
          <w:b/>
          <w:bCs/>
        </w:rPr>
        <w:t xml:space="preserve">Contact:</w:t>
      </w:r>
      <w:r>
        <w:t xml:space="preserve"> admission@binus.edu | (+62-21) 724-3663</w:t>
      </w:r>
    </w:p>
    <w:p>
      <w:pPr>
        <w:spacing w:after="200"/>
      </w:pPr>
      <w:r>
        <w:t xml:space="preserve">Operates 8 school campuses across Java with Cambridge curriculum. Part of larger BINUS Group with university operations. Critical scale and standardization opportunity for ERP deployment. Strong IT infrastructure foundation.</w:t>
      </w:r>
    </w:p>
    <w:p>
      <w:pPr>
        <w:pStyle w:val="Heading2"/>
      </w:pPr>
      <w:r>
        <w:t xml:space="preserve">3. Yayasan Al Firdaus (Semesta Bilingual Boarding School)</w:t>
      </w:r>
    </w:p>
    <w:p>
      <w:pPr>
        <w:spacing w:after="100"/>
      </w:pPr>
      <w:r>
        <w:rPr>
          <w:b/>
          <w:bCs/>
        </w:rPr>
        <w:t xml:space="preserve">Website:</w:t>
      </w:r>
      <w:r>
        <w:t xml:space="preserve"> semesta.sch.id</w:t>
      </w:r>
    </w:p>
    <w:p>
      <w:pPr>
        <w:spacing w:after="100"/>
      </w:pPr>
      <w:r>
        <w:rPr>
          <w:b/>
          <w:bCs/>
        </w:rPr>
        <w:t xml:space="preserve">Contact:</w:t>
      </w:r>
      <w:r>
        <w:t xml:space="preserve"> 024-76916060</w:t>
      </w:r>
    </w:p>
    <w:p>
      <w:pPr>
        <w:spacing w:after="200"/>
      </w:pPr>
      <w:r>
        <w:t xml:space="preserve">Regional leader in Semarang offering TK through SMA with unique boarding school operational complexity. Specialized market segment with high operational management needs. Good regional growth trajectory.</w:t>
      </w:r>
    </w:p>
    <w:p>
      <w:pPr>
        <w:pStyle w:val="Heading2"/>
      </w:pPr>
      <w:r>
        <w:t xml:space="preserve">4. Putera Sampoerna Foundation (Sampoerna Academy)</w:t>
      </w:r>
    </w:p>
    <w:p>
      <w:pPr>
        <w:spacing w:after="100"/>
      </w:pPr>
      <w:r>
        <w:rPr>
          <w:b/>
          <w:bCs/>
        </w:rPr>
        <w:t xml:space="preserve">Website:</w:t>
      </w:r>
      <w:r>
        <w:t xml:space="preserve"> sampoernaacademy.sch.id</w:t>
      </w:r>
    </w:p>
    <w:p>
      <w:pPr>
        <w:spacing w:after="100"/>
      </w:pPr>
      <w:r>
        <w:rPr>
          <w:b/>
          <w:bCs/>
        </w:rPr>
        <w:t xml:space="preserve">Contact:</w:t>
      </w:r>
      <w:r>
        <w:t xml:space="preserve"> Visit website for contact details</w:t>
      </w:r>
    </w:p>
    <w:p>
      <w:pPr>
        <w:spacing w:after="200"/>
      </w:pPr>
      <w:r>
        <w:t xml:space="preserve">Comprehensive educational ecosystem from PAUD through University. Foundation-based social business model with strong institutional backing. Complex organizational structure requiring sophisticated management systems. Significant upside potential.</w:t>
      </w:r>
    </w:p>
    <w:p>
      <w:pPr>
        <w:pStyle w:val="Heading2"/>
      </w:pPr>
      <w:r>
        <w:t xml:space="preserve">5. Yayasan Tarakanita</w:t>
      </w:r>
    </w:p>
    <w:p>
      <w:pPr>
        <w:spacing w:after="100"/>
      </w:pPr>
      <w:r>
        <w:rPr>
          <w:b/>
          <w:bCs/>
        </w:rPr>
        <w:t xml:space="preserve">Website:</w:t>
      </w:r>
      <w:r>
        <w:t xml:space="preserve"> tarakanita.sch.id</w:t>
      </w:r>
    </w:p>
    <w:p>
      <w:pPr>
        <w:spacing w:after="100"/>
      </w:pPr>
      <w:r>
        <w:rPr>
          <w:b/>
          <w:bCs/>
        </w:rPr>
        <w:t xml:space="preserve">Contact:</w:t>
      </w:r>
      <w:r>
        <w:t xml:space="preserve"> +62 21 3908836 / 08118771984</w:t>
      </w:r>
    </w:p>
    <w:p>
      <w:pPr>
        <w:spacing w:after="200"/>
      </w:pPr>
      <w:r>
        <w:t xml:space="preserve">Indonesia&amp;#x2019;s largest education foundation managing 60 schools across multiple regions (Bengkulu, Jakarta, Central Java). CRITICAL priority due to massive scale and distributed network complexity. Highest strategic value with greatest transformation impact opportunity.</w:t>
      </w:r>
    </w:p>
    <w:p>
      <w:pPr>
        <w:spacing w:after="100" w:before="240"/>
      </w:pPr>
      <w:r>
        <w:rPr>
          <w:color w:val="999999"/>
          <w:sz w:val="20"/>
          <w:szCs w:val="20"/>
        </w:rPr>
        <w:t xml:space="preserve">Report prepared by: Arunika Sales &amp; Marketing Division</w:t>
      </w:r>
    </w:p>
    <w:p>
      <w:r>
        <w:rPr>
          <w:b/>
          <w:bCs/>
          <w:color w:val="1F4E78"/>
        </w:rPr>
        <w:t xml:space="preserve">Status: Ready for CEO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amp;#x2022;"/>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2026-05-10T01:09:28.853Z</dcterms:created>
  <dcterms:modified xsi:type="dcterms:W3CDTF">2026-05-10T01:09:28.853Z</dcterms:modified>
</cp:coreProperties>
</file>

<file path=docProps/custom.xml><?xml version="1.0" encoding="utf-8"?>
<Properties xmlns="http://schemas.openxmlformats.org/officeDocument/2006/custom-properties" xmlns:vt="http://schemas.openxmlformats.org/officeDocument/2006/docPropsVTypes"/>
</file>