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64"/>
        </w:rPr>
        <w:t>RAC INCORPORATED</w:t>
      </w:r>
    </w:p>
    <w:p>
      <w:pPr>
        <w:jc w:val="left"/>
      </w:pPr>
      <w:r>
        <w:rPr>
          <w:sz w:val="38"/>
        </w:rPr>
        <w:t>Craig Engel, General Contractor</w:t>
      </w:r>
    </w:p>
    <w:p>
      <w:r>
        <w:rPr>
          <w:sz w:val="34"/>
        </w:rPr>
        <w:t>1267 N 1390 W, Saint George, UT 84770   |   (435) 229-7360   |   racinc19@gmail.com</w:t>
      </w:r>
    </w:p>
    <w:p/>
    <w:p>
      <w:r>
        <w:rPr>
          <w:b/>
          <w:sz w:val="72"/>
        </w:rPr>
        <w:t>CHANGE ORDER CO-010</w:t>
      </w:r>
    </w:p>
    <w:p>
      <w:pPr>
        <w:spacing w:after="800"/>
      </w:pPr>
      <w:r>
        <w:rPr>
          <w:sz w:val="52"/>
        </w:rPr>
        <w:t>Plumbing Fixture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Project:</w:t>
            </w:r>
          </w:p>
        </w:tc>
        <w:tc>
          <w:tcPr>
            <w:tcW w:type="dxa" w:w="2160"/>
          </w:tcPr>
          <w:p>
            <w:r>
              <w:t>Rodriguez Residence – Oak Valley Estates Lot 5</w:t>
            </w:r>
          </w:p>
        </w:tc>
        <w:tc>
          <w:tcPr>
            <w:tcW w:type="dxa" w:w="2160"/>
          </w:tcPr>
          <w:p>
            <w:r>
              <w:t>Date:</w:t>
            </w:r>
          </w:p>
        </w:tc>
        <w:tc>
          <w:tcPr>
            <w:tcW w:type="dxa" w:w="2160"/>
          </w:tcPr>
          <w:p>
            <w:r>
              <w:t>March 19, 2026</w:t>
            </w:r>
          </w:p>
        </w:tc>
      </w:tr>
      <w:tr>
        <w:tc>
          <w:tcPr>
            <w:tcW w:type="dxa" w:w="2160"/>
          </w:tcPr>
          <w:p>
            <w:r>
              <w:t>Owner:</w:t>
            </w:r>
          </w:p>
        </w:tc>
        <w:tc>
          <w:tcPr>
            <w:tcW w:type="dxa" w:w="2160"/>
          </w:tcPr>
          <w:p>
            <w:r>
              <w:t>Mr. &amp; Mrs. Rodriguez</w:t>
            </w:r>
          </w:p>
        </w:tc>
        <w:tc>
          <w:tcPr>
            <w:tcW w:type="dxa" w:w="2160"/>
          </w:tcPr>
          <w:p>
            <w:r>
              <w:t>CO Number:</w:t>
            </w:r>
          </w:p>
        </w:tc>
        <w:tc>
          <w:tcPr>
            <w:tcW w:type="dxa" w:w="2160"/>
          </w:tcPr>
          <w:p>
            <w:r>
              <w:t>CO-010</w:t>
            </w:r>
          </w:p>
        </w:tc>
      </w:tr>
      <w:tr>
        <w:tc>
          <w:tcPr>
            <w:tcW w:type="dxa" w:w="2160"/>
          </w:tcPr>
          <w:p>
            <w:r>
              <w:t>Location:</w:t>
            </w:r>
          </w:p>
        </w:tc>
        <w:tc>
          <w:tcPr>
            <w:tcW w:type="dxa" w:w="2160"/>
          </w:tcPr>
          <w:p>
            <w:r>
              <w:t>Liberty Lane, Kanarraville, UT 84742</w:t>
            </w:r>
          </w:p>
        </w:tc>
        <w:tc>
          <w:tcPr>
            <w:tcW w:type="dxa" w:w="2160"/>
          </w:tcPr>
          <w:p>
            <w:r>
              <w:t>Contract Value:</w:t>
            </w:r>
          </w:p>
        </w:tc>
        <w:tc>
          <w:tcPr>
            <w:tcW w:type="dxa" w:w="2160"/>
          </w:tcPr>
          <w:p>
            <w:r>
              <w:t>$1,697.00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spacing w:before="400" w:after="800"/>
      </w:pPr>
      <w:r>
        <w:rPr>
          <w:b/>
          <w:sz w:val="38"/>
        </w:rPr>
        <w:t>COST IMPACT: This change order adds $1,697.00 to the contract sum for plumbing fixture changes.</w:t>
      </w:r>
    </w:p>
    <w:p>
      <w:pPr>
        <w:spacing w:before="1200" w:after="400"/>
      </w:pPr>
      <w:r>
        <w:rPr>
          <w:b/>
          <w:sz w:val="48"/>
        </w:rPr>
        <w:t>SCOPE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Plumbing Fixture Changes</w:t>
            </w:r>
          </w:p>
        </w:tc>
        <w:tc>
          <w:tcPr>
            <w:tcW w:type="dxa" w:w="2160"/>
          </w:tcPr>
          <w:p>
            <w:r>
              <w:t>Owner-initiated changes to plumbing fixtures per revised selections</w:t>
            </w:r>
          </w:p>
        </w:tc>
        <w:tc>
          <w:tcPr>
            <w:tcW w:type="dxa" w:w="2160"/>
          </w:tcPr>
          <w:p>
            <w:r>
              <w:t>$1,697.00</w:t>
            </w:r>
          </w:p>
        </w:tc>
        <w:tc>
          <w:tcPr>
            <w:tcW w:type="dxa" w:w="2160"/>
          </w:tcPr>
          <w:p>
            <w:r>
              <w:t>$1,697.00</w:t>
            </w:r>
          </w:p>
        </w:tc>
      </w:tr>
    </w:tbl>
    <w:p/>
    <w:p/>
    <w:p>
      <w:pPr>
        <w:spacing w:before="800" w:after="400"/>
      </w:pPr>
      <w:r>
        <w:rPr>
          <w:b/>
          <w:sz w:val="48"/>
        </w:rPr>
        <w:t>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Plumbing fixture changes</w:t>
            </w:r>
          </w:p>
        </w:tc>
        <w:tc>
          <w:tcPr>
            <w:tcW w:type="dxa" w:w="4320"/>
          </w:tcPr>
          <w:p>
            <w:r>
              <w:t>$1,697.00</w:t>
            </w:r>
          </w:p>
        </w:tc>
      </w:tr>
      <w:tr>
        <w:tc>
          <w:tcPr>
            <w:tcW w:type="dxa" w:w="4320"/>
          </w:tcPr>
          <w:p>
            <w:r>
              <w:t>TOTAL CHANGE ORDER</w:t>
            </w:r>
          </w:p>
        </w:tc>
        <w:tc>
          <w:tcPr>
            <w:tcW w:type="dxa" w:w="4320"/>
          </w:tcPr>
          <w:p>
            <w:r>
              <w:t>$1,697.00</w:t>
            </w:r>
          </w:p>
        </w:tc>
      </w:tr>
    </w:tbl>
    <w:p/>
    <w:p/>
    <w:p>
      <w:pPr>
        <w:spacing w:before="1200" w:after="400"/>
      </w:pPr>
      <w:r>
        <w:rPr>
          <w:b/>
          <w:sz w:val="48"/>
        </w:rPr>
        <w:t>AUTHORIZATION &amp; OWNER APPROVAL</w:t>
      </w:r>
    </w:p>
    <w:p>
      <w:pPr>
        <w:spacing w:after="800"/>
      </w:pPr>
      <w:r>
        <w:rPr>
          <w:sz w:val="38"/>
        </w:rPr>
        <w:t>By signing below, Owner authorizes RAC Incorporated to proceed with the plumbing fixture changes described in Change Order CO-010. This change order adds $1,697.00 to the contract sum. This change order becomes part of the contract documents upon execution.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___________________________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___________________________</w:t>
            </w:r>
          </w:p>
        </w:tc>
      </w:tr>
      <w:tr>
        <w:tc>
          <w:tcPr>
            <w:tcW w:type="dxa" w:w="2880"/>
          </w:tcPr>
          <w:p>
            <w:r>
              <w:t>Craig Engel — RAC Incorporated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Owner — Rodriguez Residence</w:t>
            </w:r>
          </w:p>
        </w:tc>
      </w:tr>
      <w:tr>
        <w:tc>
          <w:tcPr>
            <w:tcW w:type="dxa" w:w="2880"/>
          </w:tcPr>
          <w:p>
            <w:r>
              <w:t>General Contractor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Date: 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