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73E8"/>
          <w:sz w:val="28"/>
        </w:rPr>
        <w:t>RAC DEVELOPMENT</w:t>
      </w:r>
    </w:p>
    <w:p>
      <w:pPr>
        <w:jc w:val="center"/>
      </w:pPr>
      <w:r>
        <w:rPr>
          <w:b/>
          <w:sz w:val="36"/>
        </w:rPr>
        <w:t>CHANGE ORDER — NO CHARGE</w:t>
      </w:r>
    </w:p>
    <w:p>
      <w:pPr>
        <w:jc w:val="center"/>
      </w:pPr>
      <w:r>
        <w:rPr>
          <w:sz w:val="24"/>
        </w:rPr>
        <w:t>CO-009: Solar Electrical Vault &amp; Secured Power System</w:t>
      </w:r>
    </w:p>
    <w:p/>
    <w:p>
      <w:r>
        <w:rPr>
          <w:b/>
        </w:rPr>
        <w:t>Project:  Rodriguez Residence — Oak Valley Estates, Lot 5</w:t>
      </w:r>
    </w:p>
    <w:p>
      <w:r>
        <w:t>Address:  Liberty Lane, Kanarraville, UT 84742</w:t>
      </w:r>
    </w:p>
    <w:p>
      <w:r>
        <w:t>Date:     March 05, 2026</w:t>
      </w:r>
    </w:p>
    <w:p/>
    <w:p>
      <w:r>
        <w:rPr>
          <w:b/>
        </w:rPr>
        <w:t xml:space="preserve">To:  </w:t>
      </w:r>
      <w:r>
        <w:t>Jessica &amp; Adrian Rodriguez — ARJR Kanarraville Holdings, LLC</w:t>
      </w:r>
    </w:p>
    <w:p>
      <w:r>
        <w:rPr>
          <w:b/>
        </w:rPr>
        <w:t xml:space="preserve">From:  </w:t>
      </w:r>
      <w:r>
        <w:t>RAC Development | Craig Engel | (435) 229-7360 | racinc19@gmail.com</w:t>
      </w:r>
    </w:p>
    <w:p>
      <w:r>
        <w:rPr>
          <w:b/>
        </w:rPr>
        <w:t xml:space="preserve">Change Order #:  </w:t>
      </w:r>
      <w:r>
        <w:t>CO-009</w:t>
      </w:r>
    </w:p>
    <w:p>
      <w:r>
        <w:rPr>
          <w:b/>
        </w:rPr>
        <w:t xml:space="preserve">Contract Date:  </w:t>
      </w:r>
      <w:r/>
    </w:p>
    <w:p>
      <w:r>
        <w:rPr>
          <w:b/>
        </w:rPr>
        <w:t xml:space="preserve">Change Order Date:  </w:t>
      </w:r>
      <w:r>
        <w:t>March 05, 2026</w:t>
      </w:r>
    </w:p>
    <w:p>
      <w:r>
        <w:rPr>
          <w:b/>
        </w:rPr>
        <w:t xml:space="preserve">Cost Impact:  </w:t>
      </w:r>
      <w:r>
        <w:t>NO CHARGE — Owner-Initiated Upgrade</w:t>
      </w:r>
    </w:p>
    <w:p>
      <w:r>
        <w:rPr>
          <w:b/>
        </w:rPr>
        <w:t xml:space="preserve">Schedule Impact:  </w:t>
      </w:r>
      <w:r>
        <w:t>No impact to project completion date</w:t>
      </w:r>
    </w:p>
    <w:p/>
    <w:p>
      <w:pPr>
        <w:pStyle w:val="Heading2"/>
      </w:pPr>
      <w:r>
        <w:rPr>
          <w:color w:val="1A73E8"/>
        </w:rPr>
        <w:t>Purpose of This Change Order</w:t>
      </w:r>
    </w:p>
    <w:p>
      <w:r>
        <w:t>This change order documents the design and installation of a solar-powered electrical storage vault and a secured, independent power panel for the residence. These changes provide the home with full energy independence, whole-home backup power, and a dedicated secured power circuit that cannot be interrupted from outside the property. There is no additional cost to the owner.</w:t>
      </w:r>
    </w:p>
    <w:p>
      <w:pPr>
        <w:pStyle w:val="Heading2"/>
      </w:pPr>
      <w:r>
        <w:rPr>
          <w:color w:val="1A73E8"/>
        </w:rPr>
        <w:t>Background</w:t>
      </w:r>
    </w:p>
    <w:p>
      <w:r>
        <w:t>As the electrical design for the residence evolved, it became clear that the property's location, the owners' priorities around security and self-sufficiency, and the existing 30-panel solar fence array created an opportunity to implement a substantially more capable and secure electrical system than originally scoped. Rocky Mountain Power is still in the process of providing a service bid; this system is designed to operate independently of the grid while remaining grid-capable when service is established.</w:t>
      </w:r>
    </w:p>
    <w:p>
      <w:pPr>
        <w:pStyle w:val="Heading2"/>
      </w:pPr>
      <w:r>
        <w:rPr>
          <w:color w:val="1A73E8"/>
        </w:rPr>
        <w:t>Scope of Changes — What's New</w:t>
      </w:r>
    </w:p>
    <w:p>
      <w:pPr>
        <w:pStyle w:val="Heading3"/>
      </w:pPr>
      <w:r>
        <w:t>1. Solar Array — 30-Panel Bifacial Fence System</w:t>
      </w:r>
    </w:p>
    <w:p>
      <w:pPr>
        <w:pStyle w:val="ListBullet"/>
      </w:pPr>
      <w:r>
        <w:t>30 × EGING PV 705W N-TOPCon bifacial panels — vertical East/West fence mount</w:t>
      </w:r>
    </w:p>
    <w:p>
      <w:pPr>
        <w:pStyle w:val="ListBullet"/>
      </w:pPr>
      <w:r>
        <w:t>21.15 kW peak capacity — produces approximately 96.5 kWh per day on average</w:t>
      </w:r>
    </w:p>
    <w:p>
      <w:pPr>
        <w:pStyle w:val="ListBullet"/>
      </w:pPr>
      <w:r>
        <w:t>Bifacial panels capture light on both faces — 95.7% of south-facing optimal output</w:t>
      </w:r>
    </w:p>
    <w:p>
      <w:pPr>
        <w:pStyle w:val="ListBullet"/>
      </w:pPr>
      <w:r>
        <w:t>Solar fence panels mounted by fence installer; electrical wiring by licensed electrician</w:t>
      </w:r>
    </w:p>
    <w:p>
      <w:pPr>
        <w:pStyle w:val="ListBullet"/>
      </w:pPr>
      <w:r>
        <w:t>DC output runs underground via conduit to the Solar Electrical Vault</w:t>
      </w:r>
    </w:p>
    <w:p>
      <w:pPr>
        <w:pStyle w:val="Heading3"/>
      </w:pPr>
      <w:r>
        <w:t>2. Underground Solar Electrical Vault</w:t>
      </w:r>
    </w:p>
    <w:p>
      <w:pPr>
        <w:pStyle w:val="ListBullet"/>
      </w:pPr>
      <w:r>
        <w:t>Precast concrete vault buried on property — Jensen Precast or equivalent</w:t>
      </w:r>
    </w:p>
    <w:p>
      <w:pPr>
        <w:pStyle w:val="ListBullet"/>
      </w:pPr>
      <w:r>
        <w:t>Interior dimensions: 6' W × 8' L × 6' H — manhole access at grade</w:t>
      </w:r>
    </w:p>
    <w:p>
      <w:pPr>
        <w:pStyle w:val="ListBullet"/>
      </w:pPr>
      <w:r>
        <w:t>H-20 load rating — vehicle traffic capable</w:t>
      </w:r>
    </w:p>
    <w:p>
      <w:pPr>
        <w:pStyle w:val="ListBullet"/>
      </w:pPr>
      <w:r>
        <w:t>Houses the complete power storage and management system:</w:t>
      </w:r>
    </w:p>
    <w:p>
      <w:pPr>
        <w:pStyle w:val="ListBullet"/>
      </w:pPr>
      <w:r>
        <w:t xml:space="preserve">  — Victron Quattro 10kVA inverter/charger (grid-tie + backup capable)</w:t>
      </w:r>
    </w:p>
    <w:p>
      <w:pPr>
        <w:pStyle w:val="ListBullet"/>
      </w:pPr>
      <w:r>
        <w:t xml:space="preserve">  — Victron MPPT solar charge controller</w:t>
      </w:r>
    </w:p>
    <w:p>
      <w:pPr>
        <w:pStyle w:val="ListBullet"/>
      </w:pPr>
      <w:r>
        <w:t xml:space="preserve">  — Cerbo GX system brain and remote monitoring</w:t>
      </w:r>
    </w:p>
    <w:p>
      <w:pPr>
        <w:pStyle w:val="ListBullet"/>
      </w:pPr>
      <w:r>
        <w:t xml:space="preserve">  — 4 × Pylontech US5000 LiFePO4 battery modules = 40 kWh total storage</w:t>
      </w:r>
    </w:p>
    <w:p>
      <w:pPr>
        <w:pStyle w:val="ListBullet"/>
      </w:pPr>
      <w:r>
        <w:t xml:space="preserve">  — 400A manual disconnect</w:t>
      </w:r>
    </w:p>
    <w:p>
      <w:pPr>
        <w:pStyle w:val="ListBullet"/>
      </w:pPr>
      <w:r>
        <w:t>Underground location provides natural thermal stability (~55°F year-round)</w:t>
      </w:r>
    </w:p>
    <w:p>
      <w:pPr>
        <w:pStyle w:val="ListBullet"/>
      </w:pPr>
      <w:r>
        <w:t>LiFePO4 chemistry: 10,000+ cycle life, thermally stable, no fire risk</w:t>
      </w:r>
    </w:p>
    <w:p>
      <w:pPr>
        <w:pStyle w:val="Heading3"/>
      </w:pPr>
      <w:r>
        <w:t>3. Electrical Distribution — 4-Panel System</w:t>
      </w:r>
    </w:p>
    <w:p>
      <w:pPr>
        <w:pStyle w:val="ListBullet"/>
      </w:pPr>
      <w:r>
        <w:t>400A service entrance with CT revenue meter on house exterior (Rocky Mountain Power)</w:t>
      </w:r>
    </w:p>
    <w:p>
      <w:pPr>
        <w:pStyle w:val="ListBullet"/>
      </w:pPr>
      <w:r>
        <w:t>Main distribution panel inside house — feeds three sub-panels through interior truss runs</w:t>
      </w:r>
    </w:p>
    <w:p>
      <w:pPr>
        <w:pStyle w:val="ListBullet"/>
      </w:pPr>
      <w:r>
        <w:t>Panel 1: Main Level — general circuits, kitchen, living, smart home</w:t>
      </w:r>
    </w:p>
    <w:p>
      <w:pPr>
        <w:pStyle w:val="ListBullet"/>
      </w:pPr>
      <w:r>
        <w:t>Panel 2: Upper Level — bedrooms, baths, HVAC zone</w:t>
      </w:r>
    </w:p>
    <w:p>
      <w:pPr>
        <w:pStyle w:val="ListBullet"/>
      </w:pPr>
      <w:r>
        <w:t>Panel 3: Lower Level / ADU — ADU unit and lower level loads</w:t>
      </w:r>
    </w:p>
    <w:p>
      <w:pPr>
        <w:pStyle w:val="ListBullet"/>
      </w:pPr>
      <w:r>
        <w:t>One automatic transfer switch — when grid fails, Victron vault feeds all three panels</w:t>
      </w:r>
    </w:p>
    <w:p>
      <w:pPr>
        <w:pStyle w:val="ListBullet"/>
      </w:pPr>
      <w:r>
        <w:t>Interior wiring runs through truss bays — no additional trenching required</w:t>
      </w:r>
    </w:p>
    <w:p>
      <w:pPr>
        <w:pStyle w:val="Heading3"/>
      </w:pPr>
      <w:r>
        <w:t>4. Secured Independent Panel — Panic Room (Panel 4)</w:t>
      </w:r>
    </w:p>
    <w:p>
      <w:r>
        <w:t>This is the most significant security feature of the electrical design. A fourth electrical panel is physically installed inside the panic room. This panel has the following characteristics:</w:t>
      </w:r>
    </w:p>
    <w:p>
      <w:pPr>
        <w:pStyle w:val="ListBullet"/>
      </w:pPr>
      <w:r>
        <w:t>Fed by a DEDICATED underground circuit directly from the Solar Electrical Vault</w:t>
      </w:r>
    </w:p>
    <w:p>
      <w:pPr>
        <w:pStyle w:val="ListBullet"/>
      </w:pPr>
      <w:r>
        <w:t>Has NO connection to the utility grid or main distribution panel</w:t>
      </w:r>
    </w:p>
    <w:p>
      <w:pPr>
        <w:pStyle w:val="ListBullet"/>
      </w:pPr>
      <w:r>
        <w:t>Cannot be shut off by cutting the main utility service — it is completely independent</w:t>
      </w:r>
    </w:p>
    <w:p>
      <w:pPr>
        <w:pStyle w:val="ListBullet"/>
      </w:pPr>
      <w:r>
        <w:t>Power source is a buried underground vault on a multi-acre property</w:t>
      </w:r>
    </w:p>
    <w:p>
      <w:pPr>
        <w:pStyle w:val="ListBullet"/>
      </w:pPr>
      <w:r>
        <w:t>To interrupt power to this panel, someone would need to locate and access the buried vault</w:t>
      </w:r>
    </w:p>
    <w:p>
      <w:pPr>
        <w:pStyle w:val="ListBullet"/>
      </w:pPr>
      <w:r>
        <w:t>Powered entirely by solar and battery — operational indefinitely during daylight</w:t>
      </w:r>
    </w:p>
    <w:p>
      <w:pPr>
        <w:pStyle w:val="ListBullet"/>
      </w:pPr>
      <w:r>
        <w:t>Battery reserve provides 12+ hours of nighttime operation at panic room load levels</w:t>
      </w:r>
    </w:p>
    <w:p>
      <w:pPr>
        <w:pStyle w:val="ListBullet"/>
      </w:pPr>
      <w:r>
        <w:t>Panel feeds: lighting, communications, security systems, outlets within panic room</w:t>
      </w:r>
    </w:p>
    <w:p>
      <w:pPr>
        <w:pStyle w:val="ListBullet"/>
      </w:pPr>
      <w:r>
        <w:t>Panel is physically located inside the panic room — access requires entry to the room</w:t>
      </w:r>
    </w:p>
    <w:p/>
    <w:p>
      <w:r>
        <w:t>In plain terms: if the property ever loses utility power — whether due to an outage, storm, or deliberate interference — the panic room remains fully powered. The power source for this room is hidden, underground, and independent of any external infrastructure. This level of power security is extremely rare in residential construction.</w:t>
      </w:r>
    </w:p>
    <w:p>
      <w:pPr>
        <w:pStyle w:val="Heading2"/>
      </w:pPr>
      <w:r>
        <w:rPr>
          <w:color w:val="1A73E8"/>
        </w:rPr>
        <w:t>Why These Changes Were Made</w:t>
      </w:r>
    </w:p>
    <w:p>
      <w:r>
        <w:t>Security: The dedicated underground panic room power circuit provides a level of electrical resilience that cannot be achieved with a standard grid-connected system. Utility service can be interrupted intentionally or accidentally; this design ensures that critical spaces remain powered regardless.</w:t>
        <w:br/>
        <w:br/>
        <w:t>Energy Independence: The 30-panel solar array produces more energy than the home consumes on an average day. The 40kWh battery bank stores surplus production for overnight use. The home can operate entirely off-grid for extended periods.</w:t>
        <w:br/>
        <w:br/>
        <w:t>Cost Savings: Solar generation eliminates or dramatically reduces ongoing utility costs. Net metering capability allows excess generation to offset grid charges when connected.</w:t>
        <w:br/>
        <w:br/>
        <w:t>Efficiency: LiFePO4 battery chemistry offers superior longevity (10,000+ cycles vs. 2,000-3,000 for standard lithium), lower degradation, and better performance at the stable underground temperatures where the vault is installed.</w:t>
        <w:br/>
        <w:br/>
        <w:t>Future Readiness: The vault and conduit infrastructure is sized for future expansion. Additional battery modules can be added without redesigning the system.</w:t>
      </w:r>
    </w:p>
    <w:p>
      <w:pPr>
        <w:pStyle w:val="Heading2"/>
      </w:pPr>
      <w:r>
        <w:rPr>
          <w:color w:val="1A73E8"/>
        </w:rPr>
        <w:t>System Reference Diagrams</w:t>
      </w:r>
    </w:p>
    <w:p>
      <w:r>
        <w:t>The following diagrams are attached to this change order for reference:</w:t>
        <w:br/>
        <w:t xml:space="preserve">  1. System Linear Flow — shows the complete electrical system from solar fence to all panels</w:t>
        <w:br/>
        <w:t xml:space="preserve">  2. System Overview — Complete — full system diagram including well water and electrical</w:t>
        <w:br/>
        <w:br/>
        <w:t>Please review these diagrams for a complete visual understanding of the system design.</w:t>
      </w:r>
    </w:p>
    <w:p>
      <w:pPr>
        <w:pStyle w:val="Heading2"/>
      </w:pPr>
      <w:r>
        <w:rPr>
          <w:color w:val="1A73E8"/>
        </w:rPr>
        <w:t>Owner Approval</w:t>
      </w:r>
    </w:p>
    <w:p>
      <w:r>
        <w:t>By signing below, the owner acknowledges and approves the scope changes described in this change order. This change order does not modify the contract price.</w:t>
      </w:r>
    </w:p>
    <w:p/>
    <w:p>
      <w:r>
        <w:rPr>
          <w:b/>
        </w:rPr>
        <w:t xml:space="preserve">Owner Signature:  </w:t>
      </w:r>
      <w:r>
        <w:t>___________________________</w:t>
      </w:r>
    </w:p>
    <w:p>
      <w:r>
        <w:rPr>
          <w:b/>
        </w:rPr>
        <w:t xml:space="preserve">Printed Name:  </w:t>
      </w:r>
      <w:r>
        <w:t>___________________________</w:t>
      </w:r>
    </w:p>
    <w:p>
      <w:r>
        <w:rPr>
          <w:b/>
        </w:rPr>
        <w:t xml:space="preserve">Date:  </w:t>
      </w:r>
      <w:r>
        <w:t>___________________________</w:t>
      </w:r>
    </w:p>
    <w:p/>
    <w:p>
      <w:r>
        <w:rPr>
          <w:b/>
        </w:rPr>
        <w:t xml:space="preserve">RAC Development Representative:  </w:t>
      </w:r>
      <w:r>
        <w:t>___________________________</w:t>
      </w:r>
    </w:p>
    <w:p>
      <w:r>
        <w:rPr>
          <w:b/>
        </w:rPr>
        <w:t xml:space="preserve">Date:  </w:t>
      </w:r>
      <w:r>
        <w:t>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