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rPr>
          <w:rFonts w:ascii="Arial" w:cs="Arial" w:eastAsia="Arial" w:hAnsi="Arial"/>
          <w:b/>
          <w:bCs/>
          <w:sz w:val="36"/>
          <w:szCs w:val="36"/>
        </w:rPr>
        <w:t xml:space="preserve">SUBCONTRACTOR AGREEMENT</w:t>
      </w:r>
    </w:p>
    <w:p>
      <w:pPr>
        <w:spacing w:after="200"/>
        <w:jc w:val="center"/>
      </w:pPr>
      <w:r>
        <w:rPr>
          <w:rFonts w:ascii="Arial" w:cs="Arial" w:eastAsia="Arial" w:hAnsi="Arial"/>
          <w:b/>
          <w:bCs/>
          <w:sz w:val="24"/>
          <w:szCs w:val="24"/>
        </w:rPr>
        <w:t xml:space="preserve">SITE WORK – EARTHWORK, UTILITIES &amp; PAVING</w:t>
      </w:r>
    </w:p>
    <w:p>
      <w:pPr>
        <w:spacing w:after="120"/>
      </w:pPr>
      <w:r>
        <w:rPr>
          <w:rFonts w:ascii="Arial" w:cs="Arial" w:eastAsia="Arial" w:hAnsi="Arial"/>
          <w:sz w:val="22"/>
          <w:szCs w:val="22"/>
        </w:rPr>
        <w:t xml:space="preserve">This Subcontractor Agreement (“Agreement”) is entered into as of the _____ day of _______________, 2026 (“Effective Date”), by and between:</w:t>
      </w:r>
    </w:p>
    <w:p>
      <w:pPr>
        <w:spacing w:after="60"/>
      </w:pPr>
    </w:p>
    <w:p>
      <w:pPr>
        <w:spacing w:after="120"/>
        <w:ind w:left="360"/>
      </w:pPr>
      <w:r>
        <w:rPr>
          <w:rFonts w:ascii="Arial" w:cs="Arial" w:eastAsia="Arial" w:hAnsi="Arial"/>
          <w:b/>
          <w:bCs/>
          <w:sz w:val="22"/>
          <w:szCs w:val="22"/>
        </w:rPr>
        <w:t xml:space="preserve">Contractor:</w:t>
      </w:r>
      <w:r>
        <w:rPr>
          <w:rFonts w:ascii="Arial" w:cs="Arial" w:eastAsia="Arial" w:hAnsi="Arial"/>
          <w:sz w:val="22"/>
          <w:szCs w:val="22"/>
        </w:rPr>
        <w:t xml:space="preserve">  RAC Inc.</w:t>
      </w:r>
    </w:p>
    <w:p>
      <w:pPr>
        <w:spacing w:after="120"/>
        <w:ind w:left="360"/>
      </w:pPr>
      <w:r>
        <w:rPr>
          <w:rFonts w:ascii="Arial" w:cs="Arial" w:eastAsia="Arial" w:hAnsi="Arial"/>
          <w:sz w:val="22"/>
          <w:szCs w:val="22"/>
        </w:rPr>
        <w:t xml:space="preserve">1267 N 1390 W, St. George, Utah 84770</w:t>
      </w:r>
    </w:p>
    <w:p>
      <w:pPr>
        <w:spacing w:after="120"/>
        <w:ind w:left="360"/>
      </w:pPr>
      <w:r>
        <w:rPr>
          <w:rFonts w:ascii="Arial" w:cs="Arial" w:eastAsia="Arial" w:hAnsi="Arial"/>
          <w:sz w:val="22"/>
          <w:szCs w:val="22"/>
        </w:rPr>
        <w:t xml:space="preserve">License: UT 5972780-5501</w:t>
      </w:r>
    </w:p>
    <w:p>
      <w:pPr>
        <w:spacing w:after="120"/>
        <w:ind w:left="360"/>
      </w:pPr>
      <w:r>
        <w:rPr>
          <w:rFonts w:ascii="Arial" w:cs="Arial" w:eastAsia="Arial" w:hAnsi="Arial"/>
          <w:sz w:val="22"/>
          <w:szCs w:val="22"/>
        </w:rPr>
        <w:t xml:space="preserve">Contact: Craig Engel | (435) 229-7360 | racinc19@gmail.com</w:t>
      </w:r>
    </w:p>
    <w:p>
      <w:pPr>
        <w:spacing w:after="60"/>
      </w:pPr>
    </w:p>
    <w:p>
      <w:pPr>
        <w:spacing w:after="120"/>
        <w:ind w:left="360"/>
      </w:pPr>
      <w:r>
        <w:rPr>
          <w:rFonts w:ascii="Arial" w:cs="Arial" w:eastAsia="Arial" w:hAnsi="Arial"/>
          <w:b/>
          <w:bCs/>
          <w:sz w:val="22"/>
          <w:szCs w:val="22"/>
        </w:rPr>
        <w:t xml:space="preserve">Subcontractor:</w:t>
      </w:r>
      <w:r>
        <w:rPr>
          <w:rFonts w:ascii="Arial" w:cs="Arial" w:eastAsia="Arial" w:hAnsi="Arial"/>
          <w:sz w:val="22"/>
          <w:szCs w:val="22"/>
        </w:rPr>
        <w:t xml:space="preserve">  BlackstoneX LLC</w:t>
      </w:r>
    </w:p>
    <w:p>
      <w:pPr>
        <w:spacing w:after="120"/>
        <w:ind w:left="360"/>
      </w:pPr>
      <w:r>
        <w:rPr>
          <w:rFonts w:ascii="Arial" w:cs="Arial" w:eastAsia="Arial" w:hAnsi="Arial"/>
          <w:sz w:val="22"/>
          <w:szCs w:val="22"/>
        </w:rPr>
        <w:t xml:space="preserve">Contact: Dominic Kelsch, Managing Member | dom@blackstonex.net</w:t>
      </w:r>
    </w:p>
    <w:p>
      <w:pPr>
        <w:spacing w:after="120"/>
        <w:ind w:left="360"/>
      </w:pPr>
      <w:r>
        <w:rPr>
          <w:rFonts w:ascii="Arial" w:cs="Arial" w:eastAsia="Arial" w:hAnsi="Arial"/>
          <w:sz w:val="22"/>
          <w:szCs w:val="22"/>
        </w:rPr>
        <w:t xml:space="preserve">Address: ________________________________________</w:t>
      </w:r>
    </w:p>
    <w:p>
      <w:pPr>
        <w:spacing w:after="120"/>
        <w:ind w:left="360"/>
      </w:pPr>
      <w:r>
        <w:rPr>
          <w:rFonts w:ascii="Arial" w:cs="Arial" w:eastAsia="Arial" w:hAnsi="Arial"/>
          <w:sz w:val="22"/>
          <w:szCs w:val="22"/>
        </w:rPr>
        <w:t xml:space="preserve">License: ________________________________________</w:t>
      </w:r>
    </w:p>
    <w:p>
      <w:pPr>
        <w:spacing w:after="60"/>
      </w:pPr>
    </w:p>
    <w:p>
      <w:pPr>
        <w:spacing w:after="120"/>
        <w:ind w:left="360"/>
      </w:pPr>
      <w:r>
        <w:rPr>
          <w:rFonts w:ascii="Arial" w:cs="Arial" w:eastAsia="Arial" w:hAnsi="Arial"/>
          <w:b/>
          <w:bCs/>
          <w:sz w:val="22"/>
          <w:szCs w:val="22"/>
        </w:rPr>
        <w:t xml:space="preserve">Project:</w:t>
      </w:r>
      <w:r>
        <w:rPr>
          <w:rFonts w:ascii="Arial" w:cs="Arial" w:eastAsia="Arial" w:hAnsi="Arial"/>
          <w:sz w:val="22"/>
          <w:szCs w:val="22"/>
        </w:rPr>
        <w:t xml:space="preserve">  Rodriguez Residence – Oak Valley Estates, Lot 5</w:t>
      </w:r>
    </w:p>
    <w:p>
      <w:pPr>
        <w:spacing w:after="120"/>
        <w:ind w:left="360"/>
      </w:pPr>
      <w:r>
        <w:rPr>
          <w:rFonts w:ascii="Arial" w:cs="Arial" w:eastAsia="Arial" w:hAnsi="Arial"/>
          <w:sz w:val="22"/>
          <w:szCs w:val="22"/>
        </w:rPr>
        <w:t xml:space="preserve">Approximately 1000 S Old Highway 91, Kanarraville, Utah 84742</w:t>
      </w:r>
    </w:p>
    <w:p>
      <w:pPr>
        <w:spacing w:after="120"/>
        <w:ind w:left="360"/>
      </w:pPr>
      <w:r>
        <w:rPr>
          <w:rFonts w:ascii="Arial" w:cs="Arial" w:eastAsia="Arial" w:hAnsi="Arial"/>
          <w:b/>
          <w:bCs/>
          <w:sz w:val="22"/>
          <w:szCs w:val="22"/>
        </w:rPr>
        <w:t xml:space="preserve">Owner:</w:t>
      </w:r>
      <w:r>
        <w:rPr>
          <w:rFonts w:ascii="Arial" w:cs="Arial" w:eastAsia="Arial" w:hAnsi="Arial"/>
          <w:sz w:val="22"/>
          <w:szCs w:val="22"/>
        </w:rPr>
        <w:t xml:space="preserve">  ARJR Kanarraville Holdings, LLC</w:t>
      </w:r>
    </w:p>
    <w:p>
      <w:pPr>
        <w:pStyle w:val="Heading2"/>
        <w:spacing w:before="280" w:after="120"/>
      </w:pPr>
      <w:r>
        <w:rPr>
          <w:rFonts w:ascii="Arial" w:cs="Arial" w:eastAsia="Arial" w:hAnsi="Arial"/>
          <w:b/>
          <w:bCs/>
          <w:sz w:val="24"/>
          <w:szCs w:val="24"/>
        </w:rPr>
        <w:t xml:space="preserve">ARTICLE 1 – SCOPE OF WORK</w:t>
      </w:r>
    </w:p>
    <w:p>
      <w:pPr>
        <w:spacing w:after="100"/>
        <w:ind w:left="360"/>
      </w:pPr>
      <w:r>
        <w:rPr>
          <w:rFonts w:ascii="Arial" w:cs="Arial" w:eastAsia="Arial" w:hAnsi="Arial"/>
          <w:b/>
          <w:bCs/>
          <w:sz w:val="22"/>
          <w:szCs w:val="22"/>
        </w:rPr>
        <w:t xml:space="preserve">1.1  </w:t>
      </w:r>
      <w:r>
        <w:rPr>
          <w:rFonts w:ascii="Arial" w:cs="Arial" w:eastAsia="Arial" w:hAnsi="Arial"/>
          <w:sz w:val="22"/>
          <w:szCs w:val="22"/>
        </w:rPr>
        <w:t xml:space="preserve">Subcontractor shall furnish all labor, materials, equipment, and supervision necessary to perform the complete site work described in the attached Schedule of Values (Exhibit A) and in accordance with the project plans, soils report, and field conditions, including but not limited to:</w:t>
      </w:r>
    </w:p>
    <w:p>
      <w:pPr>
        <w:pStyle w:val="ListParagraph"/>
        <w:numPr>
          <w:ilvl w:val="0"/>
          <w:numId w:val="2"/>
        </w:numPr>
        <w:spacing w:after="120"/>
      </w:pPr>
      <w:r>
        <w:rPr>
          <w:rFonts w:ascii="Arial" w:cs="Arial" w:eastAsia="Arial" w:hAnsi="Arial"/>
          <w:sz w:val="22"/>
          <w:szCs w:val="22"/>
        </w:rPr>
        <w:t xml:space="preserve">Clearing and grubbing of approximately 0.70 acres</w:t>
      </w:r>
    </w:p>
    <w:p>
      <w:pPr>
        <w:pStyle w:val="ListParagraph"/>
        <w:numPr>
          <w:ilvl w:val="0"/>
          <w:numId w:val="2"/>
        </w:numPr>
        <w:spacing w:after="120"/>
      </w:pPr>
      <w:r>
        <w:rPr>
          <w:rFonts w:ascii="Arial" w:cs="Arial" w:eastAsia="Arial" w:hAnsi="Arial"/>
          <w:sz w:val="22"/>
          <w:szCs w:val="22"/>
        </w:rPr>
        <w:t xml:space="preserve">Topsoil stripping (6”), stockpiling, and re-spreading</w:t>
      </w:r>
    </w:p>
    <w:p>
      <w:pPr>
        <w:pStyle w:val="ListParagraph"/>
        <w:numPr>
          <w:ilvl w:val="0"/>
          <w:numId w:val="2"/>
        </w:numPr>
        <w:spacing w:after="120"/>
      </w:pPr>
      <w:r>
        <w:rPr>
          <w:rFonts w:ascii="Arial" w:cs="Arial" w:eastAsia="Arial" w:hAnsi="Arial"/>
          <w:sz w:val="22"/>
          <w:szCs w:val="22"/>
        </w:rPr>
        <w:t xml:space="preserve">Basement excavation per plans and soils report (888 CY)</w:t>
      </w:r>
    </w:p>
    <w:p>
      <w:pPr>
        <w:pStyle w:val="ListParagraph"/>
        <w:numPr>
          <w:ilvl w:val="0"/>
          <w:numId w:val="2"/>
        </w:numPr>
        <w:spacing w:after="120"/>
      </w:pPr>
      <w:r>
        <w:rPr>
          <w:rFonts w:ascii="Arial" w:cs="Arial" w:eastAsia="Arial" w:hAnsi="Arial"/>
          <w:sz w:val="22"/>
          <w:szCs w:val="22"/>
        </w:rPr>
        <w:t xml:space="preserve">5-foot structural over-excavation per geotechnical report (991 CY)</w:t>
      </w:r>
    </w:p>
    <w:p>
      <w:pPr>
        <w:pStyle w:val="ListParagraph"/>
        <w:numPr>
          <w:ilvl w:val="0"/>
          <w:numId w:val="2"/>
        </w:numPr>
        <w:spacing w:after="120"/>
      </w:pPr>
      <w:r>
        <w:rPr>
          <w:rFonts w:ascii="Arial" w:cs="Arial" w:eastAsia="Arial" w:hAnsi="Arial"/>
          <w:sz w:val="22"/>
          <w:szCs w:val="22"/>
        </w:rPr>
        <w:t xml:space="preserve">Structural fill placement and compaction in 8” lifts (1,000 CY)</w:t>
      </w:r>
    </w:p>
    <w:p>
      <w:pPr>
        <w:pStyle w:val="ListParagraph"/>
        <w:numPr>
          <w:ilvl w:val="0"/>
          <w:numId w:val="2"/>
        </w:numPr>
        <w:spacing w:after="120"/>
      </w:pPr>
      <w:r>
        <w:rPr>
          <w:rFonts w:ascii="Arial" w:cs="Arial" w:eastAsia="Arial" w:hAnsi="Arial"/>
          <w:sz w:val="22"/>
          <w:szCs w:val="22"/>
        </w:rPr>
        <w:t xml:space="preserve">Basement wall backfill using structural fill (400 CY)</w:t>
      </w:r>
    </w:p>
    <w:p>
      <w:pPr>
        <w:pStyle w:val="ListParagraph"/>
        <w:numPr>
          <w:ilvl w:val="0"/>
          <w:numId w:val="2"/>
        </w:numPr>
        <w:spacing w:after="120"/>
      </w:pPr>
      <w:r>
        <w:rPr>
          <w:rFonts w:ascii="Arial" w:cs="Arial" w:eastAsia="Arial" w:hAnsi="Arial"/>
          <w:sz w:val="22"/>
          <w:szCs w:val="22"/>
        </w:rPr>
        <w:t xml:space="preserve">Rough grading of building pad and entire site (500 CY)</w:t>
      </w:r>
    </w:p>
    <w:p>
      <w:pPr>
        <w:pStyle w:val="ListParagraph"/>
        <w:numPr>
          <w:ilvl w:val="0"/>
          <w:numId w:val="2"/>
        </w:numPr>
        <w:spacing w:after="120"/>
      </w:pPr>
      <w:r>
        <w:rPr>
          <w:rFonts w:ascii="Arial" w:cs="Arial" w:eastAsia="Arial" w:hAnsi="Arial"/>
          <w:sz w:val="22"/>
          <w:szCs w:val="22"/>
        </w:rPr>
        <w:t xml:space="preserve">Exterior flatwork over-excavation (150 CY)</w:t>
      </w:r>
    </w:p>
    <w:p>
      <w:pPr>
        <w:pStyle w:val="ListParagraph"/>
        <w:numPr>
          <w:ilvl w:val="0"/>
          <w:numId w:val="2"/>
        </w:numPr>
        <w:spacing w:after="120"/>
      </w:pPr>
      <w:r>
        <w:rPr>
          <w:rFonts w:ascii="Arial" w:cs="Arial" w:eastAsia="Arial" w:hAnsi="Arial"/>
          <w:sz w:val="22"/>
          <w:szCs w:val="22"/>
        </w:rPr>
        <w:t xml:space="preserve">Roadway excavation (889 CY), shaping, and asphalt driveway surface installation</w:t>
      </w:r>
    </w:p>
    <w:p>
      <w:pPr>
        <w:pStyle w:val="ListParagraph"/>
        <w:numPr>
          <w:ilvl w:val="0"/>
          <w:numId w:val="2"/>
        </w:numPr>
        <w:spacing w:after="120"/>
      </w:pPr>
      <w:r>
        <w:rPr>
          <w:rFonts w:ascii="Arial" w:cs="Arial" w:eastAsia="Arial" w:hAnsi="Arial"/>
          <w:sz w:val="22"/>
          <w:szCs w:val="22"/>
        </w:rPr>
        <w:t xml:space="preserve">Spreading of all surplus material onsite (700 CY)</w:t>
      </w:r>
    </w:p>
    <w:p>
      <w:pPr>
        <w:pStyle w:val="ListParagraph"/>
        <w:numPr>
          <w:ilvl w:val="0"/>
          <w:numId w:val="2"/>
        </w:numPr>
        <w:spacing w:after="120"/>
      </w:pPr>
      <w:r>
        <w:rPr>
          <w:rFonts w:ascii="Arial" w:cs="Arial" w:eastAsia="Arial" w:hAnsi="Arial"/>
          <w:sz w:val="22"/>
          <w:szCs w:val="22"/>
        </w:rPr>
        <w:t xml:space="preserve">French drain system: excavation (400 LF), 4” perforated pipe, drain rock, geotextile fabric, and bedding sand</w:t>
      </w:r>
    </w:p>
    <w:p>
      <w:pPr>
        <w:pStyle w:val="ListParagraph"/>
        <w:numPr>
          <w:ilvl w:val="0"/>
          <w:numId w:val="2"/>
        </w:numPr>
        <w:spacing w:after="120"/>
      </w:pPr>
      <w:r>
        <w:rPr>
          <w:rFonts w:ascii="Arial" w:cs="Arial" w:eastAsia="Arial" w:hAnsi="Arial"/>
          <w:sz w:val="22"/>
          <w:szCs w:val="22"/>
        </w:rPr>
        <w:t xml:space="preserve">Power trench excavation (200 LF) with 3” PVC conduit, sweep 90s, and couplings</w:t>
      </w:r>
    </w:p>
    <w:p>
      <w:pPr>
        <w:pStyle w:val="ListParagraph"/>
        <w:numPr>
          <w:ilvl w:val="0"/>
          <w:numId w:val="2"/>
        </w:numPr>
        <w:spacing w:after="120"/>
      </w:pPr>
      <w:r>
        <w:rPr>
          <w:rFonts w:ascii="Arial" w:cs="Arial" w:eastAsia="Arial" w:hAnsi="Arial"/>
          <w:sz w:val="22"/>
          <w:szCs w:val="22"/>
        </w:rPr>
        <w:t xml:space="preserve">Solar trench excavation (150 LF) with 2” PVC conduit, sweep 90s, and couplings</w:t>
      </w:r>
    </w:p>
    <w:p>
      <w:pPr>
        <w:pStyle w:val="ListParagraph"/>
        <w:numPr>
          <w:ilvl w:val="0"/>
          <w:numId w:val="2"/>
        </w:numPr>
        <w:spacing w:after="120"/>
      </w:pPr>
      <w:r>
        <w:rPr>
          <w:rFonts w:ascii="Arial" w:cs="Arial" w:eastAsia="Arial" w:hAnsi="Arial"/>
          <w:sz w:val="22"/>
          <w:szCs w:val="22"/>
        </w:rPr>
        <w:t xml:space="preserve">Septic system: excavation, 1,500-gallon low-profile septic tank (furnish and set), system materials, full installation, and leach rock (105 TON clean gravel)</w:t>
      </w:r>
    </w:p>
    <w:p>
      <w:pPr>
        <w:pStyle w:val="ListParagraph"/>
        <w:numPr>
          <w:ilvl w:val="0"/>
          <w:numId w:val="2"/>
        </w:numPr>
        <w:spacing w:after="120"/>
      </w:pPr>
      <w:r>
        <w:rPr>
          <w:rFonts w:ascii="Arial" w:cs="Arial" w:eastAsia="Arial" w:hAnsi="Arial"/>
          <w:sz w:val="22"/>
          <w:szCs w:val="22"/>
        </w:rPr>
        <w:t xml:space="preserve">Propane tank excavation</w:t>
      </w:r>
    </w:p>
    <w:p>
      <w:pPr>
        <w:pStyle w:val="ListParagraph"/>
        <w:numPr>
          <w:ilvl w:val="0"/>
          <w:numId w:val="2"/>
        </w:numPr>
        <w:spacing w:after="120"/>
      </w:pPr>
      <w:r>
        <w:rPr>
          <w:rFonts w:ascii="Arial" w:cs="Arial" w:eastAsia="Arial" w:hAnsi="Arial"/>
          <w:sz w:val="22"/>
          <w:szCs w:val="22"/>
        </w:rPr>
        <w:t xml:space="preserve">Water tank excavation</w:t>
      </w:r>
    </w:p>
    <w:p>
      <w:pPr>
        <w:pStyle w:val="ListParagraph"/>
        <w:numPr>
          <w:ilvl w:val="0"/>
          <w:numId w:val="2"/>
        </w:numPr>
        <w:spacing w:after="120"/>
      </w:pPr>
      <w:r>
        <w:rPr>
          <w:rFonts w:ascii="Arial" w:cs="Arial" w:eastAsia="Arial" w:hAnsi="Arial"/>
          <w:sz w:val="22"/>
          <w:szCs w:val="22"/>
        </w:rPr>
        <w:t xml:space="preserve">1” PEX water service line – furnish and install (300 LF)</w:t>
      </w:r>
    </w:p>
    <w:p>
      <w:pPr>
        <w:spacing w:after="100"/>
        <w:ind w:left="360"/>
      </w:pPr>
      <w:r>
        <w:rPr>
          <w:rFonts w:ascii="Arial" w:cs="Arial" w:eastAsia="Arial" w:hAnsi="Arial"/>
          <w:b/>
          <w:bCs/>
          <w:sz w:val="22"/>
          <w:szCs w:val="22"/>
        </w:rPr>
        <w:t xml:space="preserve">1.2  </w:t>
      </w:r>
      <w:r>
        <w:rPr>
          <w:rFonts w:ascii="Arial" w:cs="Arial" w:eastAsia="Arial" w:hAnsi="Arial"/>
          <w:sz w:val="22"/>
          <w:szCs w:val="22"/>
        </w:rPr>
        <w:t xml:space="preserve">Work shall be performed in accordance with all applicable codes, regulations, project plans, and the geotechnical report. Subcontractor acknowledges receipt of said documents.</w:t>
      </w:r>
    </w:p>
    <w:p>
      <w:pPr>
        <w:spacing w:after="100"/>
        <w:ind w:left="360"/>
      </w:pPr>
      <w:r>
        <w:rPr>
          <w:rFonts w:ascii="Arial" w:cs="Arial" w:eastAsia="Arial" w:hAnsi="Arial"/>
          <w:b/>
          <w:bCs/>
          <w:sz w:val="22"/>
          <w:szCs w:val="22"/>
        </w:rPr>
        <w:t xml:space="preserve">1.3  </w:t>
      </w:r>
      <w:r>
        <w:rPr>
          <w:rFonts w:ascii="Arial" w:cs="Arial" w:eastAsia="Arial" w:hAnsi="Arial"/>
          <w:sz w:val="22"/>
          <w:szCs w:val="22"/>
        </w:rPr>
        <w:t xml:space="preserve">Subcontractor shall coordinate its work with all other trades and keep the site clean and orderly throughout the duration of its work.</w:t>
      </w:r>
    </w:p>
    <w:p>
      <w:pPr>
        <w:pStyle w:val="Heading2"/>
        <w:spacing w:before="280" w:after="120"/>
      </w:pPr>
      <w:r>
        <w:rPr>
          <w:rFonts w:ascii="Arial" w:cs="Arial" w:eastAsia="Arial" w:hAnsi="Arial"/>
          <w:b/>
          <w:bCs/>
          <w:sz w:val="24"/>
          <w:szCs w:val="24"/>
        </w:rPr>
        <w:t xml:space="preserve">ARTICLE 2 – CONTRACT PRICE</w:t>
      </w:r>
    </w:p>
    <w:p>
      <w:pPr>
        <w:spacing w:after="100"/>
        <w:ind w:left="360"/>
      </w:pPr>
      <w:r>
        <w:rPr>
          <w:rFonts w:ascii="Arial" w:cs="Arial" w:eastAsia="Arial" w:hAnsi="Arial"/>
          <w:b/>
          <w:bCs/>
          <w:sz w:val="22"/>
          <w:szCs w:val="22"/>
        </w:rPr>
        <w:t xml:space="preserve">2.1  </w:t>
      </w:r>
      <w:r>
        <w:rPr>
          <w:rFonts w:ascii="Arial" w:cs="Arial" w:eastAsia="Arial" w:hAnsi="Arial"/>
          <w:sz w:val="22"/>
          <w:szCs w:val="22"/>
        </w:rPr>
        <w:t xml:space="preserve">The Contract Price for all work described herein shall be One Hundred Ninety-Nine Thousand Five Hundred One Dollars and 00/100 ($199,501.00), comprised of:</w:t>
      </w:r>
    </w:p>
    <w:p>
      <w:pPr>
        <w:pStyle w:val="ListParagraph"/>
        <w:numPr>
          <w:ilvl w:val="0"/>
          <w:numId w:val="2"/>
        </w:numPr>
        <w:spacing w:after="120"/>
      </w:pPr>
      <w:r>
        <w:rPr>
          <w:rFonts w:ascii="Arial" w:cs="Arial" w:eastAsia="Arial" w:hAnsi="Arial"/>
          <w:sz w:val="22"/>
          <w:szCs w:val="22"/>
        </w:rPr>
        <w:t xml:space="preserve">Base Earthwork: $121,741.00</w:t>
      </w:r>
    </w:p>
    <w:p>
      <w:pPr>
        <w:pStyle w:val="ListParagraph"/>
        <w:numPr>
          <w:ilvl w:val="0"/>
          <w:numId w:val="2"/>
        </w:numPr>
        <w:spacing w:after="120"/>
      </w:pPr>
      <w:r>
        <w:rPr>
          <w:rFonts w:ascii="Arial" w:cs="Arial" w:eastAsia="Arial" w:hAnsi="Arial"/>
          <w:sz w:val="22"/>
          <w:szCs w:val="22"/>
        </w:rPr>
        <w:t xml:space="preserve">Asphalt Driveway Surface (Option 3): $77,760.00</w:t>
      </w:r>
    </w:p>
    <w:p>
      <w:pPr>
        <w:spacing w:after="100"/>
        <w:ind w:left="360"/>
      </w:pPr>
      <w:r>
        <w:rPr>
          <w:rFonts w:ascii="Arial" w:cs="Arial" w:eastAsia="Arial" w:hAnsi="Arial"/>
          <w:b/>
          <w:bCs/>
          <w:sz w:val="22"/>
          <w:szCs w:val="22"/>
        </w:rPr>
        <w:t xml:space="preserve">2.2  </w:t>
      </w:r>
      <w:r>
        <w:rPr>
          <w:rFonts w:ascii="Arial" w:cs="Arial" w:eastAsia="Arial" w:hAnsi="Arial"/>
          <w:sz w:val="22"/>
          <w:szCs w:val="22"/>
        </w:rPr>
        <w:t xml:space="preserve">The Contract Price is all-inclusive for the complete scope of work described in Article 1 and Exhibit A. No additional charges shall apply except as provided through written change orders per Article 6.</w:t>
      </w:r>
    </w:p>
    <w:p>
      <w:pPr>
        <w:pStyle w:val="Heading2"/>
        <w:spacing w:before="280" w:after="120"/>
      </w:pPr>
      <w:r>
        <w:rPr>
          <w:rFonts w:ascii="Arial" w:cs="Arial" w:eastAsia="Arial" w:hAnsi="Arial"/>
          <w:b/>
          <w:bCs/>
          <w:sz w:val="24"/>
          <w:szCs w:val="24"/>
        </w:rPr>
        <w:t xml:space="preserve">ARTICLE 3 – PAYMENT</w:t>
      </w:r>
    </w:p>
    <w:p>
      <w:pPr>
        <w:spacing w:after="100"/>
        <w:ind w:left="360"/>
      </w:pPr>
      <w:r>
        <w:rPr>
          <w:rFonts w:ascii="Arial" w:cs="Arial" w:eastAsia="Arial" w:hAnsi="Arial"/>
          <w:b/>
          <w:bCs/>
          <w:sz w:val="22"/>
          <w:szCs w:val="22"/>
        </w:rPr>
        <w:t xml:space="preserve">3.1  </w:t>
      </w:r>
      <w:r>
        <w:rPr>
          <w:rFonts w:ascii="Arial" w:cs="Arial" w:eastAsia="Arial" w:hAnsi="Arial"/>
          <w:sz w:val="22"/>
          <w:szCs w:val="22"/>
        </w:rPr>
        <w:t xml:space="preserve">Payment shall be made on a monthly progress basis, measured by percentage of completion of each line item in the Schedule of Values, net thirty (30) days from date of invoice.</w:t>
      </w:r>
    </w:p>
    <w:p>
      <w:pPr>
        <w:spacing w:after="100"/>
        <w:ind w:left="360"/>
      </w:pPr>
      <w:r>
        <w:rPr>
          <w:rFonts w:ascii="Arial" w:cs="Arial" w:eastAsia="Arial" w:hAnsi="Arial"/>
          <w:b/>
          <w:bCs/>
          <w:sz w:val="22"/>
          <w:szCs w:val="22"/>
        </w:rPr>
        <w:t xml:space="preserve">3.2  </w:t>
      </w:r>
      <w:r>
        <w:rPr>
          <w:rFonts w:ascii="Arial" w:cs="Arial" w:eastAsia="Arial" w:hAnsi="Arial"/>
          <w:sz w:val="22"/>
          <w:szCs w:val="22"/>
        </w:rPr>
        <w:t xml:space="preserve">Subcontractor shall submit monthly pay applications to Contractor detailing percentage complete for each line item. Contractor shall review and approve or return with comments within seven (7) business days.</w:t>
      </w:r>
    </w:p>
    <w:p>
      <w:pPr>
        <w:spacing w:after="100"/>
        <w:ind w:left="360"/>
      </w:pPr>
      <w:r>
        <w:rPr>
          <w:rFonts w:ascii="Arial" w:cs="Arial" w:eastAsia="Arial" w:hAnsi="Arial"/>
          <w:b/>
          <w:bCs/>
          <w:sz w:val="22"/>
          <w:szCs w:val="22"/>
        </w:rPr>
        <w:t xml:space="preserve">3.3  </w:t>
      </w:r>
      <w:r>
        <w:rPr>
          <w:rFonts w:ascii="Arial" w:cs="Arial" w:eastAsia="Arial" w:hAnsi="Arial"/>
          <w:sz w:val="22"/>
          <w:szCs w:val="22"/>
        </w:rPr>
        <w:t xml:space="preserve">A finance charge of two percent (2%) per month shall apply to invoices more than thirty (30) days past due.</w:t>
      </w:r>
    </w:p>
    <w:p>
      <w:pPr>
        <w:spacing w:after="100"/>
        <w:ind w:left="360"/>
      </w:pPr>
      <w:r>
        <w:rPr>
          <w:rFonts w:ascii="Arial" w:cs="Arial" w:eastAsia="Arial" w:hAnsi="Arial"/>
          <w:b/>
          <w:bCs/>
          <w:sz w:val="22"/>
          <w:szCs w:val="22"/>
        </w:rPr>
        <w:t xml:space="preserve">3.4  </w:t>
      </w:r>
      <w:r>
        <w:rPr>
          <w:rFonts w:ascii="Arial" w:cs="Arial" w:eastAsia="Arial" w:hAnsi="Arial"/>
          <w:sz w:val="22"/>
          <w:szCs w:val="22"/>
        </w:rPr>
        <w:t xml:space="preserve">Subcontractor may pause work if payment becomes more than thirty (30) days overdue, upon seven (7) days written notice to Contractor.</w:t>
      </w:r>
    </w:p>
    <w:p>
      <w:pPr>
        <w:spacing w:after="100"/>
        <w:ind w:left="360"/>
      </w:pPr>
      <w:r>
        <w:rPr>
          <w:rFonts w:ascii="Arial" w:cs="Arial" w:eastAsia="Arial" w:hAnsi="Arial"/>
          <w:b/>
          <w:bCs/>
          <w:sz w:val="22"/>
          <w:szCs w:val="22"/>
        </w:rPr>
        <w:t xml:space="preserve">3.5  </w:t>
      </w:r>
      <w:r>
        <w:rPr>
          <w:rFonts w:ascii="Arial" w:cs="Arial" w:eastAsia="Arial" w:hAnsi="Arial"/>
          <w:sz w:val="22"/>
          <w:szCs w:val="22"/>
        </w:rPr>
        <w:t xml:space="preserve">Final payment is contingent upon Subcontractor providing: (a) a final unconditional lien waiver, (b) all required test results and certifications, and (c) as-built documentation for all underground utilities and septic system.</w:t>
      </w:r>
    </w:p>
    <w:p>
      <w:pPr>
        <w:pStyle w:val="Heading2"/>
        <w:spacing w:before="280" w:after="120"/>
      </w:pPr>
      <w:r>
        <w:rPr>
          <w:rFonts w:ascii="Arial" w:cs="Arial" w:eastAsia="Arial" w:hAnsi="Arial"/>
          <w:b/>
          <w:bCs/>
          <w:sz w:val="24"/>
          <w:szCs w:val="24"/>
        </w:rPr>
        <w:t xml:space="preserve">ARTICLE 4 – SCHEDULE</w:t>
      </w:r>
    </w:p>
    <w:p>
      <w:pPr>
        <w:spacing w:after="100"/>
        <w:ind w:left="360"/>
      </w:pPr>
      <w:r>
        <w:rPr>
          <w:rFonts w:ascii="Arial" w:cs="Arial" w:eastAsia="Arial" w:hAnsi="Arial"/>
          <w:b/>
          <w:bCs/>
          <w:sz w:val="22"/>
          <w:szCs w:val="22"/>
        </w:rPr>
        <w:t xml:space="preserve">4.1  </w:t>
      </w:r>
      <w:r>
        <w:rPr>
          <w:rFonts w:ascii="Arial" w:cs="Arial" w:eastAsia="Arial" w:hAnsi="Arial"/>
          <w:sz w:val="22"/>
          <w:szCs w:val="22"/>
        </w:rPr>
        <w:t xml:space="preserve">Subcontractor shall commence work on or about March 1, 2026 or as directed by Contractor. Subcontractor shall prosecute the work diligently and in accordance with the project schedule.</w:t>
      </w:r>
    </w:p>
    <w:p>
      <w:pPr>
        <w:spacing w:after="100"/>
        <w:ind w:left="360"/>
      </w:pPr>
      <w:r>
        <w:rPr>
          <w:rFonts w:ascii="Arial" w:cs="Arial" w:eastAsia="Arial" w:hAnsi="Arial"/>
          <w:b/>
          <w:bCs/>
          <w:sz w:val="22"/>
          <w:szCs w:val="22"/>
        </w:rPr>
        <w:t xml:space="preserve">4.2  </w:t>
      </w:r>
      <w:r>
        <w:rPr>
          <w:rFonts w:ascii="Arial" w:cs="Arial" w:eastAsia="Arial" w:hAnsi="Arial"/>
          <w:sz w:val="22"/>
          <w:szCs w:val="22"/>
        </w:rPr>
        <w:t xml:space="preserve">Subcontractor shall provide adequate manpower and equipment to maintain the project schedule. If Subcontractor falls behind schedule through no fault of Contractor, Subcontractor shall improve progress at no additional cost.</w:t>
      </w:r>
    </w:p>
    <w:p>
      <w:pPr>
        <w:spacing w:after="100"/>
        <w:ind w:left="360"/>
      </w:pPr>
      <w:r>
        <w:rPr>
          <w:rFonts w:ascii="Arial" w:cs="Arial" w:eastAsia="Arial" w:hAnsi="Arial"/>
          <w:b/>
          <w:bCs/>
          <w:sz w:val="22"/>
          <w:szCs w:val="22"/>
        </w:rPr>
        <w:t xml:space="preserve">4.3  </w:t>
      </w:r>
      <w:r>
        <w:rPr>
          <w:rFonts w:ascii="Arial" w:cs="Arial" w:eastAsia="Arial" w:hAnsi="Arial"/>
          <w:sz w:val="22"/>
          <w:szCs w:val="22"/>
        </w:rPr>
        <w:t xml:space="preserve">Subcontractor shall notify Contractor in writing within forty-eight (48) hours of any condition that may cause delay, including encountering rock, groundwater, or unsuitable soils.</w:t>
      </w:r>
    </w:p>
    <w:p>
      <w:pPr>
        <w:pStyle w:val="Heading2"/>
        <w:spacing w:before="280" w:after="120"/>
      </w:pPr>
      <w:r>
        <w:rPr>
          <w:rFonts w:ascii="Arial" w:cs="Arial" w:eastAsia="Arial" w:hAnsi="Arial"/>
          <w:b/>
          <w:bCs/>
          <w:sz w:val="24"/>
          <w:szCs w:val="24"/>
        </w:rPr>
        <w:t xml:space="preserve">ARTICLE 5 – EXCLUSIONS</w:t>
      </w:r>
    </w:p>
    <w:p>
      <w:pPr>
        <w:spacing w:after="100"/>
        <w:ind w:left="360"/>
      </w:pPr>
      <w:r>
        <w:rPr>
          <w:rFonts w:ascii="Arial" w:cs="Arial" w:eastAsia="Arial" w:hAnsi="Arial"/>
          <w:b/>
          <w:bCs/>
          <w:sz w:val="22"/>
          <w:szCs w:val="22"/>
        </w:rPr>
        <w:t xml:space="preserve">5.1  </w:t>
      </w:r>
      <w:r>
        <w:rPr>
          <w:rFonts w:ascii="Arial" w:cs="Arial" w:eastAsia="Arial" w:hAnsi="Arial"/>
          <w:sz w:val="22"/>
          <w:szCs w:val="22"/>
        </w:rPr>
        <w:t xml:space="preserve">The following items are specifically excluded from this Agreement:</w:t>
      </w:r>
    </w:p>
    <w:p>
      <w:pPr>
        <w:pStyle w:val="ListParagraph"/>
        <w:numPr>
          <w:ilvl w:val="0"/>
          <w:numId w:val="2"/>
        </w:numPr>
        <w:spacing w:after="120"/>
      </w:pPr>
      <w:r>
        <w:rPr>
          <w:rFonts w:ascii="Arial" w:cs="Arial" w:eastAsia="Arial" w:hAnsi="Arial"/>
          <w:sz w:val="22"/>
          <w:szCs w:val="22"/>
        </w:rPr>
        <w:t xml:space="preserve">Rock hammering, blasting, or ripping beyond normal excavation (see Article 6)</w:t>
      </w:r>
    </w:p>
    <w:p>
      <w:pPr>
        <w:pStyle w:val="ListParagraph"/>
        <w:numPr>
          <w:ilvl w:val="0"/>
          <w:numId w:val="2"/>
        </w:numPr>
        <w:spacing w:after="120"/>
      </w:pPr>
      <w:r>
        <w:rPr>
          <w:rFonts w:ascii="Arial" w:cs="Arial" w:eastAsia="Arial" w:hAnsi="Arial"/>
          <w:sz w:val="22"/>
          <w:szCs w:val="22"/>
        </w:rPr>
        <w:t xml:space="preserve">Export of any materials (all materials remain onsite)</w:t>
      </w:r>
    </w:p>
    <w:p>
      <w:pPr>
        <w:pStyle w:val="ListParagraph"/>
        <w:numPr>
          <w:ilvl w:val="0"/>
          <w:numId w:val="2"/>
        </w:numPr>
        <w:spacing w:after="120"/>
      </w:pPr>
      <w:r>
        <w:rPr>
          <w:rFonts w:ascii="Arial" w:cs="Arial" w:eastAsia="Arial" w:hAnsi="Arial"/>
          <w:sz w:val="22"/>
          <w:szCs w:val="22"/>
        </w:rPr>
        <w:t xml:space="preserve">Import not listed in line items</w:t>
      </w:r>
    </w:p>
    <w:p>
      <w:pPr>
        <w:pStyle w:val="ListParagraph"/>
        <w:numPr>
          <w:ilvl w:val="0"/>
          <w:numId w:val="2"/>
        </w:numPr>
        <w:spacing w:after="120"/>
      </w:pPr>
      <w:r>
        <w:rPr>
          <w:rFonts w:ascii="Arial" w:cs="Arial" w:eastAsia="Arial" w:hAnsi="Arial"/>
          <w:sz w:val="22"/>
          <w:szCs w:val="22"/>
        </w:rPr>
        <w:t xml:space="preserve">Under-slab gravel (available as change order)</w:t>
      </w:r>
    </w:p>
    <w:p>
      <w:pPr>
        <w:pStyle w:val="ListParagraph"/>
        <w:numPr>
          <w:ilvl w:val="0"/>
          <w:numId w:val="2"/>
        </w:numPr>
        <w:spacing w:after="120"/>
      </w:pPr>
      <w:r>
        <w:rPr>
          <w:rFonts w:ascii="Arial" w:cs="Arial" w:eastAsia="Arial" w:hAnsi="Arial"/>
          <w:sz w:val="22"/>
          <w:szCs w:val="22"/>
        </w:rPr>
        <w:t xml:space="preserve">Concrete, curb &amp; gutter</w:t>
      </w:r>
    </w:p>
    <w:p>
      <w:pPr>
        <w:pStyle w:val="ListParagraph"/>
        <w:numPr>
          <w:ilvl w:val="0"/>
          <w:numId w:val="2"/>
        </w:numPr>
        <w:spacing w:after="120"/>
      </w:pPr>
      <w:r>
        <w:rPr>
          <w:rFonts w:ascii="Arial" w:cs="Arial" w:eastAsia="Arial" w:hAnsi="Arial"/>
          <w:sz w:val="22"/>
          <w:szCs w:val="22"/>
        </w:rPr>
        <w:t xml:space="preserve">Landscaping or final grade for landscaping</w:t>
      </w:r>
    </w:p>
    <w:p>
      <w:pPr>
        <w:pStyle w:val="ListParagraph"/>
        <w:numPr>
          <w:ilvl w:val="0"/>
          <w:numId w:val="2"/>
        </w:numPr>
        <w:spacing w:after="120"/>
      </w:pPr>
      <w:r>
        <w:rPr>
          <w:rFonts w:ascii="Arial" w:cs="Arial" w:eastAsia="Arial" w:hAnsi="Arial"/>
          <w:sz w:val="22"/>
          <w:szCs w:val="22"/>
        </w:rPr>
        <w:t xml:space="preserve">Compaction testing (by geotechnical engineer)</w:t>
      </w:r>
    </w:p>
    <w:p>
      <w:pPr>
        <w:pStyle w:val="ListParagraph"/>
        <w:numPr>
          <w:ilvl w:val="0"/>
          <w:numId w:val="2"/>
        </w:numPr>
        <w:spacing w:after="120"/>
      </w:pPr>
      <w:r>
        <w:rPr>
          <w:rFonts w:ascii="Arial" w:cs="Arial" w:eastAsia="Arial" w:hAnsi="Arial"/>
          <w:sz w:val="22"/>
          <w:szCs w:val="22"/>
        </w:rPr>
        <w:t xml:space="preserve">Surveying, staking, layout (by builder/engineer)</w:t>
      </w:r>
    </w:p>
    <w:p>
      <w:pPr>
        <w:pStyle w:val="ListParagraph"/>
        <w:numPr>
          <w:ilvl w:val="0"/>
          <w:numId w:val="2"/>
        </w:numPr>
        <w:spacing w:after="120"/>
      </w:pPr>
      <w:r>
        <w:rPr>
          <w:rFonts w:ascii="Arial" w:cs="Arial" w:eastAsia="Arial" w:hAnsi="Arial"/>
          <w:sz w:val="22"/>
          <w:szCs w:val="22"/>
        </w:rPr>
        <w:t xml:space="preserve">Dewatering or groundwater mitigation</w:t>
      </w:r>
    </w:p>
    <w:p>
      <w:pPr>
        <w:pStyle w:val="ListParagraph"/>
        <w:numPr>
          <w:ilvl w:val="0"/>
          <w:numId w:val="2"/>
        </w:numPr>
        <w:spacing w:after="120"/>
      </w:pPr>
      <w:r>
        <w:rPr>
          <w:rFonts w:ascii="Arial" w:cs="Arial" w:eastAsia="Arial" w:hAnsi="Arial"/>
          <w:sz w:val="22"/>
          <w:szCs w:val="22"/>
        </w:rPr>
        <w:t xml:space="preserve">Utility tap fees, permits, or inspections</w:t>
      </w:r>
    </w:p>
    <w:p>
      <w:pPr>
        <w:pStyle w:val="ListParagraph"/>
        <w:numPr>
          <w:ilvl w:val="0"/>
          <w:numId w:val="2"/>
        </w:numPr>
        <w:spacing w:after="120"/>
      </w:pPr>
      <w:r>
        <w:rPr>
          <w:rFonts w:ascii="Arial" w:cs="Arial" w:eastAsia="Arial" w:hAnsi="Arial"/>
          <w:sz w:val="22"/>
          <w:szCs w:val="22"/>
        </w:rPr>
        <w:t xml:space="preserve">Hazardous material removal or unforeseen obstructions</w:t>
      </w:r>
    </w:p>
    <w:p>
      <w:pPr>
        <w:pStyle w:val="ListParagraph"/>
        <w:numPr>
          <w:ilvl w:val="0"/>
          <w:numId w:val="2"/>
        </w:numPr>
        <w:spacing w:after="120"/>
      </w:pPr>
      <w:r>
        <w:rPr>
          <w:rFonts w:ascii="Arial" w:cs="Arial" w:eastAsia="Arial" w:hAnsi="Arial"/>
          <w:sz w:val="22"/>
          <w:szCs w:val="22"/>
        </w:rPr>
        <w:t xml:space="preserve">Frozen ground, frost removal, winter protection, or weather-related delays</w:t>
      </w:r>
    </w:p>
    <w:p>
      <w:pPr>
        <w:pStyle w:val="ListParagraph"/>
        <w:numPr>
          <w:ilvl w:val="0"/>
          <w:numId w:val="2"/>
        </w:numPr>
        <w:spacing w:after="120"/>
      </w:pPr>
      <w:r>
        <w:rPr>
          <w:rFonts w:ascii="Arial" w:cs="Arial" w:eastAsia="Arial" w:hAnsi="Arial"/>
          <w:sz w:val="22"/>
          <w:szCs w:val="22"/>
        </w:rPr>
        <w:t xml:space="preserve">Unsuitable soils: clay, expansive soils, organics, soft subgrade, or undocumented fill</w:t>
      </w:r>
    </w:p>
    <w:p>
      <w:pPr>
        <w:pStyle w:val="ListParagraph"/>
        <w:numPr>
          <w:ilvl w:val="0"/>
          <w:numId w:val="2"/>
        </w:numPr>
        <w:spacing w:after="120"/>
      </w:pPr>
      <w:r>
        <w:rPr>
          <w:rFonts w:ascii="Arial" w:cs="Arial" w:eastAsia="Arial" w:hAnsi="Arial"/>
          <w:sz w:val="22"/>
          <w:szCs w:val="22"/>
        </w:rPr>
        <w:t xml:space="preserve">Erosion control, SWPPP compliance, and dust control beyond standard water application</w:t>
      </w:r>
    </w:p>
    <w:p>
      <w:pPr>
        <w:pStyle w:val="ListParagraph"/>
        <w:numPr>
          <w:ilvl w:val="0"/>
          <w:numId w:val="2"/>
        </w:numPr>
        <w:spacing w:after="120"/>
      </w:pPr>
      <w:r>
        <w:rPr>
          <w:rFonts w:ascii="Arial" w:cs="Arial" w:eastAsia="Arial" w:hAnsi="Arial"/>
          <w:sz w:val="22"/>
          <w:szCs w:val="22"/>
        </w:rPr>
        <w:t xml:space="preserve">Work not explicitly listed in this Agreement or Exhibit A</w:t>
      </w:r>
    </w:p>
    <w:p>
      <w:pPr>
        <w:pStyle w:val="Heading2"/>
        <w:spacing w:before="280" w:after="120"/>
      </w:pPr>
      <w:r>
        <w:rPr>
          <w:rFonts w:ascii="Arial" w:cs="Arial" w:eastAsia="Arial" w:hAnsi="Arial"/>
          <w:b/>
          <w:bCs/>
          <w:sz w:val="24"/>
          <w:szCs w:val="24"/>
        </w:rPr>
        <w:t xml:space="preserve">ARTICLE 6 – CHANGE ORDERS AND ADDITIONAL WORK</w:t>
      </w:r>
    </w:p>
    <w:p>
      <w:pPr>
        <w:spacing w:after="100"/>
        <w:ind w:left="360"/>
      </w:pPr>
      <w:r>
        <w:rPr>
          <w:rFonts w:ascii="Arial" w:cs="Arial" w:eastAsia="Arial" w:hAnsi="Arial"/>
          <w:b/>
          <w:bCs/>
          <w:sz w:val="22"/>
          <w:szCs w:val="22"/>
        </w:rPr>
        <w:t xml:space="preserve">6.1  </w:t>
      </w:r>
      <w:r>
        <w:rPr>
          <w:rFonts w:ascii="Arial" w:cs="Arial" w:eastAsia="Arial" w:hAnsi="Arial"/>
          <w:sz w:val="22"/>
          <w:szCs w:val="22"/>
        </w:rPr>
        <w:t xml:space="preserve">No additional work shall be performed without a written change order signed by both parties. Change orders must be approved prior to commencement of additional work.</w:t>
      </w:r>
    </w:p>
    <w:p>
      <w:pPr>
        <w:spacing w:after="100"/>
        <w:ind w:left="360"/>
      </w:pPr>
      <w:r>
        <w:rPr>
          <w:rFonts w:ascii="Arial" w:cs="Arial" w:eastAsia="Arial" w:hAnsi="Arial"/>
          <w:b/>
          <w:bCs/>
          <w:sz w:val="22"/>
          <w:szCs w:val="22"/>
        </w:rPr>
        <w:t xml:space="preserve">6.2  </w:t>
      </w:r>
      <w:r>
        <w:rPr>
          <w:rFonts w:ascii="Arial" w:cs="Arial" w:eastAsia="Arial" w:hAnsi="Arial"/>
          <w:sz w:val="22"/>
          <w:szCs w:val="22"/>
        </w:rPr>
        <w:t xml:space="preserve">Rock Excavation: Rock is defined as material that cannot be removed with a standard excavator bucket. If encountered, Subcontractor shall immediately notify Contractor. Removal shall be performed as a change order with rates agreed upon prior to commencement.</w:t>
      </w:r>
    </w:p>
    <w:p>
      <w:pPr>
        <w:spacing w:after="100"/>
        <w:ind w:left="360"/>
      </w:pPr>
      <w:r>
        <w:rPr>
          <w:rFonts w:ascii="Arial" w:cs="Arial" w:eastAsia="Arial" w:hAnsi="Arial"/>
          <w:b/>
          <w:bCs/>
          <w:sz w:val="22"/>
          <w:szCs w:val="22"/>
        </w:rPr>
        <w:t xml:space="preserve">6.3  </w:t>
      </w:r>
      <w:r>
        <w:rPr>
          <w:rFonts w:ascii="Arial" w:cs="Arial" w:eastAsia="Arial" w:hAnsi="Arial"/>
          <w:sz w:val="22"/>
          <w:szCs w:val="22"/>
        </w:rPr>
        <w:t xml:space="preserve">Unsuitable Soils: Undercut, stabilization, or additional over-excavation required due to unsuitable soils shall be performed at additional cost via change order.</w:t>
      </w:r>
    </w:p>
    <w:p>
      <w:pPr>
        <w:spacing w:after="100"/>
        <w:ind w:left="360"/>
      </w:pPr>
      <w:r>
        <w:rPr>
          <w:rFonts w:ascii="Arial" w:cs="Arial" w:eastAsia="Arial" w:hAnsi="Arial"/>
          <w:b/>
          <w:bCs/>
          <w:sz w:val="22"/>
          <w:szCs w:val="22"/>
        </w:rPr>
        <w:t xml:space="preserve">6.4  </w:t>
      </w:r>
      <w:r>
        <w:rPr>
          <w:rFonts w:ascii="Arial" w:cs="Arial" w:eastAsia="Arial" w:hAnsi="Arial"/>
          <w:sz w:val="22"/>
          <w:szCs w:val="22"/>
        </w:rPr>
        <w:t xml:space="preserve">Quantity Adjustments: Final billing based on actual quantities at unit prices in Exhibit A. Variances greater than 10% of any line item require Contractor approval before proceeding.</w:t>
      </w:r>
    </w:p>
    <w:p>
      <w:pPr>
        <w:spacing w:after="100"/>
        <w:ind w:left="360"/>
      </w:pPr>
      <w:r>
        <w:rPr>
          <w:rFonts w:ascii="Arial" w:cs="Arial" w:eastAsia="Arial" w:hAnsi="Arial"/>
          <w:b/>
          <w:bCs/>
          <w:sz w:val="22"/>
          <w:szCs w:val="22"/>
        </w:rPr>
        <w:t xml:space="preserve">6.5  </w:t>
      </w:r>
      <w:r>
        <w:rPr>
          <w:rFonts w:ascii="Arial" w:cs="Arial" w:eastAsia="Arial" w:hAnsi="Arial"/>
          <w:sz w:val="22"/>
          <w:szCs w:val="22"/>
        </w:rPr>
        <w:t xml:space="preserve">Additional import due to settlement, pumping soils, or over-excavation beyond planned quantities shall be priced via change order.</w:t>
      </w:r>
    </w:p>
    <w:p>
      <w:pPr>
        <w:pStyle w:val="Heading2"/>
        <w:spacing w:before="280" w:after="120"/>
      </w:pPr>
      <w:r>
        <w:rPr>
          <w:rFonts w:ascii="Arial" w:cs="Arial" w:eastAsia="Arial" w:hAnsi="Arial"/>
          <w:b/>
          <w:bCs/>
          <w:sz w:val="24"/>
          <w:szCs w:val="24"/>
        </w:rPr>
        <w:t xml:space="preserve">ARTICLE 7 – ASSUMPTIONS AND CONDITIONS</w:t>
      </w:r>
    </w:p>
    <w:p>
      <w:pPr>
        <w:spacing w:after="100"/>
        <w:ind w:left="360"/>
      </w:pPr>
      <w:r>
        <w:rPr>
          <w:rFonts w:ascii="Arial" w:cs="Arial" w:eastAsia="Arial" w:hAnsi="Arial"/>
          <w:b/>
          <w:bCs/>
          <w:sz w:val="22"/>
          <w:szCs w:val="22"/>
        </w:rPr>
        <w:t xml:space="preserve">7.1  </w:t>
      </w:r>
      <w:r>
        <w:rPr>
          <w:rFonts w:ascii="Arial" w:cs="Arial" w:eastAsia="Arial" w:hAnsi="Arial"/>
          <w:sz w:val="22"/>
          <w:szCs w:val="22"/>
        </w:rPr>
        <w:t xml:space="preserve">Pricing assumes normal equipment access. Restricted access, hand work, or sequencing inefficiencies may require change order pricing.</w:t>
      </w:r>
    </w:p>
    <w:p>
      <w:pPr>
        <w:spacing w:after="100"/>
        <w:ind w:left="360"/>
      </w:pPr>
      <w:r>
        <w:rPr>
          <w:rFonts w:ascii="Arial" w:cs="Arial" w:eastAsia="Arial" w:hAnsi="Arial"/>
          <w:b/>
          <w:bCs/>
          <w:sz w:val="22"/>
          <w:szCs w:val="22"/>
        </w:rPr>
        <w:t xml:space="preserve">7.2  </w:t>
      </w:r>
      <w:r>
        <w:rPr>
          <w:rFonts w:ascii="Arial" w:cs="Arial" w:eastAsia="Arial" w:hAnsi="Arial"/>
          <w:sz w:val="22"/>
          <w:szCs w:val="22"/>
        </w:rPr>
        <w:t xml:space="preserve">Utility locations assumed per provided information. Unknown utilities, conflicts, or relocations are extra.</w:t>
      </w:r>
    </w:p>
    <w:p>
      <w:pPr>
        <w:spacing w:after="100"/>
        <w:ind w:left="360"/>
      </w:pPr>
      <w:r>
        <w:rPr>
          <w:rFonts w:ascii="Arial" w:cs="Arial" w:eastAsia="Arial" w:hAnsi="Arial"/>
          <w:b/>
          <w:bCs/>
          <w:sz w:val="22"/>
          <w:szCs w:val="22"/>
        </w:rPr>
        <w:t xml:space="preserve">7.3  </w:t>
      </w:r>
      <w:r>
        <w:rPr>
          <w:rFonts w:ascii="Arial" w:cs="Arial" w:eastAsia="Arial" w:hAnsi="Arial"/>
          <w:sz w:val="22"/>
          <w:szCs w:val="22"/>
        </w:rPr>
        <w:t xml:space="preserve">Imported material quantities assume stable subgrade.</w:t>
      </w:r>
    </w:p>
    <w:p>
      <w:pPr>
        <w:spacing w:after="100"/>
        <w:ind w:left="360"/>
      </w:pPr>
      <w:r>
        <w:rPr>
          <w:rFonts w:ascii="Arial" w:cs="Arial" w:eastAsia="Arial" w:hAnsi="Arial"/>
          <w:b/>
          <w:bCs/>
          <w:sz w:val="22"/>
          <w:szCs w:val="22"/>
        </w:rPr>
        <w:t xml:space="preserve">7.4  </w:t>
      </w:r>
      <w:r>
        <w:rPr>
          <w:rFonts w:ascii="Arial" w:cs="Arial" w:eastAsia="Arial" w:hAnsi="Arial"/>
          <w:sz w:val="22"/>
          <w:szCs w:val="22"/>
        </w:rPr>
        <w:t xml:space="preserve">Final grades based on provided control. Regrading due to plan changes or elevation revisions is extra.</w:t>
      </w:r>
    </w:p>
    <w:p>
      <w:pPr>
        <w:spacing w:after="100"/>
        <w:ind w:left="360"/>
      </w:pPr>
      <w:r>
        <w:rPr>
          <w:rFonts w:ascii="Arial" w:cs="Arial" w:eastAsia="Arial" w:hAnsi="Arial"/>
          <w:b/>
          <w:bCs/>
          <w:sz w:val="22"/>
          <w:szCs w:val="22"/>
        </w:rPr>
        <w:t xml:space="preserve">7.5  </w:t>
      </w:r>
      <w:r>
        <w:rPr>
          <w:rFonts w:ascii="Arial" w:cs="Arial" w:eastAsia="Arial" w:hAnsi="Arial"/>
          <w:sz w:val="22"/>
          <w:szCs w:val="22"/>
        </w:rPr>
        <w:t xml:space="preserve">Schedule delays beyond Subcontractor’s control (weather, inspections, utility conflicts, owner/GC delays) may result in additional charges with prior written notice and documentation.</w:t>
      </w:r>
    </w:p>
    <w:p>
      <w:pPr>
        <w:pStyle w:val="Heading2"/>
        <w:spacing w:before="280" w:after="120"/>
      </w:pPr>
      <w:r>
        <w:rPr>
          <w:rFonts w:ascii="Arial" w:cs="Arial" w:eastAsia="Arial" w:hAnsi="Arial"/>
          <w:b/>
          <w:bCs/>
          <w:sz w:val="24"/>
          <w:szCs w:val="24"/>
        </w:rPr>
        <w:t xml:space="preserve">ARTICLE 8 – INSURANCE AND INDEMNIFICATION</w:t>
      </w:r>
    </w:p>
    <w:p>
      <w:pPr>
        <w:spacing w:after="100"/>
        <w:ind w:left="360"/>
      </w:pPr>
      <w:r>
        <w:rPr>
          <w:rFonts w:ascii="Arial" w:cs="Arial" w:eastAsia="Arial" w:hAnsi="Arial"/>
          <w:b/>
          <w:bCs/>
          <w:sz w:val="22"/>
          <w:szCs w:val="22"/>
        </w:rPr>
        <w:t xml:space="preserve">8.1  </w:t>
      </w:r>
      <w:r>
        <w:rPr>
          <w:rFonts w:ascii="Arial" w:cs="Arial" w:eastAsia="Arial" w:hAnsi="Arial"/>
          <w:sz w:val="22"/>
          <w:szCs w:val="22"/>
        </w:rPr>
        <w:t xml:space="preserve">Subcontractor shall maintain at its own expense throughout the duration of work:</w:t>
      </w:r>
    </w:p>
    <w:p>
      <w:pPr>
        <w:pStyle w:val="ListParagraph"/>
        <w:numPr>
          <w:ilvl w:val="0"/>
          <w:numId w:val="2"/>
        </w:numPr>
        <w:spacing w:after="120"/>
      </w:pPr>
      <w:r>
        <w:rPr>
          <w:rFonts w:ascii="Arial" w:cs="Arial" w:eastAsia="Arial" w:hAnsi="Arial"/>
          <w:sz w:val="22"/>
          <w:szCs w:val="22"/>
        </w:rPr>
        <w:t xml:space="preserve">Commercial General Liability: $1,000,000 per occurrence / $2,000,000 aggregate</w:t>
      </w:r>
    </w:p>
    <w:p>
      <w:pPr>
        <w:pStyle w:val="ListParagraph"/>
        <w:numPr>
          <w:ilvl w:val="0"/>
          <w:numId w:val="2"/>
        </w:numPr>
        <w:spacing w:after="120"/>
      </w:pPr>
      <w:r>
        <w:rPr>
          <w:rFonts w:ascii="Arial" w:cs="Arial" w:eastAsia="Arial" w:hAnsi="Arial"/>
          <w:sz w:val="22"/>
          <w:szCs w:val="22"/>
        </w:rPr>
        <w:t xml:space="preserve">Automobile Liability: $1,000,000 combined single limit</w:t>
      </w:r>
    </w:p>
    <w:p>
      <w:pPr>
        <w:pStyle w:val="ListParagraph"/>
        <w:numPr>
          <w:ilvl w:val="0"/>
          <w:numId w:val="2"/>
        </w:numPr>
        <w:spacing w:after="120"/>
      </w:pPr>
      <w:r>
        <w:rPr>
          <w:rFonts w:ascii="Arial" w:cs="Arial" w:eastAsia="Arial" w:hAnsi="Arial"/>
          <w:sz w:val="22"/>
          <w:szCs w:val="22"/>
        </w:rPr>
        <w:t xml:space="preserve">Workers’ Compensation: Statutory limits per the State of Utah</w:t>
      </w:r>
    </w:p>
    <w:p>
      <w:pPr>
        <w:spacing w:after="100"/>
        <w:ind w:left="360"/>
      </w:pPr>
      <w:r>
        <w:rPr>
          <w:rFonts w:ascii="Arial" w:cs="Arial" w:eastAsia="Arial" w:hAnsi="Arial"/>
          <w:b/>
          <w:bCs/>
          <w:sz w:val="22"/>
          <w:szCs w:val="22"/>
        </w:rPr>
        <w:t xml:space="preserve">8.2  </w:t>
      </w:r>
      <w:r>
        <w:rPr>
          <w:rFonts w:ascii="Arial" w:cs="Arial" w:eastAsia="Arial" w:hAnsi="Arial"/>
          <w:sz w:val="22"/>
          <w:szCs w:val="22"/>
        </w:rPr>
        <w:t xml:space="preserve">Subcontractor shall name RAC Inc. and ARJR Kanarraville Holdings, LLC as additional insureds. Certificates of insurance shall be provided prior to commencing work.</w:t>
      </w:r>
    </w:p>
    <w:p>
      <w:pPr>
        <w:spacing w:after="100"/>
        <w:ind w:left="360"/>
      </w:pPr>
      <w:r>
        <w:rPr>
          <w:rFonts w:ascii="Arial" w:cs="Arial" w:eastAsia="Arial" w:hAnsi="Arial"/>
          <w:b/>
          <w:bCs/>
          <w:sz w:val="22"/>
          <w:szCs w:val="22"/>
        </w:rPr>
        <w:t xml:space="preserve">8.3  </w:t>
      </w:r>
      <w:r>
        <w:rPr>
          <w:rFonts w:ascii="Arial" w:cs="Arial" w:eastAsia="Arial" w:hAnsi="Arial"/>
          <w:sz w:val="22"/>
          <w:szCs w:val="22"/>
        </w:rPr>
        <w:t xml:space="preserve">Subcontractor shall indemnify, defend, and hold harmless Contractor and Owner from all claims arising from Subcontractor’s work, except to the extent caused by Contractor or Owner negligence.</w:t>
      </w:r>
    </w:p>
    <w:p>
      <w:pPr>
        <w:pStyle w:val="Heading2"/>
        <w:spacing w:before="280" w:after="120"/>
      </w:pPr>
      <w:r>
        <w:rPr>
          <w:rFonts w:ascii="Arial" w:cs="Arial" w:eastAsia="Arial" w:hAnsi="Arial"/>
          <w:b/>
          <w:bCs/>
          <w:sz w:val="24"/>
          <w:szCs w:val="24"/>
        </w:rPr>
        <w:t xml:space="preserve">ARTICLE 9 – WARRANTY</w:t>
      </w:r>
    </w:p>
    <w:p>
      <w:pPr>
        <w:spacing w:after="100"/>
        <w:ind w:left="360"/>
      </w:pPr>
      <w:r>
        <w:rPr>
          <w:rFonts w:ascii="Arial" w:cs="Arial" w:eastAsia="Arial" w:hAnsi="Arial"/>
          <w:b/>
          <w:bCs/>
          <w:sz w:val="22"/>
          <w:szCs w:val="22"/>
        </w:rPr>
        <w:t xml:space="preserve">9.1  </w:t>
      </w:r>
      <w:r>
        <w:rPr>
          <w:rFonts w:ascii="Arial" w:cs="Arial" w:eastAsia="Arial" w:hAnsi="Arial"/>
          <w:sz w:val="22"/>
          <w:szCs w:val="22"/>
        </w:rPr>
        <w:t xml:space="preserve">Subcontractor warrants all work shall be free from defects in materials and workmanship for one (1) year from Contractor’s acceptance of the completed work.</w:t>
      </w:r>
    </w:p>
    <w:p>
      <w:pPr>
        <w:spacing w:after="100"/>
        <w:ind w:left="360"/>
      </w:pPr>
      <w:r>
        <w:rPr>
          <w:rFonts w:ascii="Arial" w:cs="Arial" w:eastAsia="Arial" w:hAnsi="Arial"/>
          <w:b/>
          <w:bCs/>
          <w:sz w:val="22"/>
          <w:szCs w:val="22"/>
        </w:rPr>
        <w:t xml:space="preserve">9.2  </w:t>
      </w:r>
      <w:r>
        <w:rPr>
          <w:rFonts w:ascii="Arial" w:cs="Arial" w:eastAsia="Arial" w:hAnsi="Arial"/>
          <w:sz w:val="22"/>
          <w:szCs w:val="22"/>
        </w:rPr>
        <w:t xml:space="preserve">Subcontractor shall remedy defective work at its expense within fourteen (14) days of written notice. Failure to do so entitles Contractor to correct the work and charge Subcontractor.</w:t>
      </w:r>
    </w:p>
    <w:p>
      <w:pPr>
        <w:pStyle w:val="Heading2"/>
        <w:spacing w:before="280" w:after="120"/>
      </w:pPr>
      <w:r>
        <w:rPr>
          <w:rFonts w:ascii="Arial" w:cs="Arial" w:eastAsia="Arial" w:hAnsi="Arial"/>
          <w:b/>
          <w:bCs/>
          <w:sz w:val="24"/>
          <w:szCs w:val="24"/>
        </w:rPr>
        <w:t xml:space="preserve">ARTICLE 10 – SAFETY AND COMPLIANCE</w:t>
      </w:r>
    </w:p>
    <w:p>
      <w:pPr>
        <w:spacing w:after="100"/>
        <w:ind w:left="360"/>
      </w:pPr>
      <w:r>
        <w:rPr>
          <w:rFonts w:ascii="Arial" w:cs="Arial" w:eastAsia="Arial" w:hAnsi="Arial"/>
          <w:b/>
          <w:bCs/>
          <w:sz w:val="22"/>
          <w:szCs w:val="22"/>
        </w:rPr>
        <w:t xml:space="preserve">10.1  </w:t>
      </w:r>
      <w:r>
        <w:rPr>
          <w:rFonts w:ascii="Arial" w:cs="Arial" w:eastAsia="Arial" w:hAnsi="Arial"/>
          <w:sz w:val="22"/>
          <w:szCs w:val="22"/>
        </w:rPr>
        <w:t xml:space="preserve">Subcontractor shall comply with all applicable laws and OSHA requirements. Subcontractor is solely responsible for safety of its employees.</w:t>
      </w:r>
    </w:p>
    <w:p>
      <w:pPr>
        <w:spacing w:after="100"/>
        <w:ind w:left="360"/>
      </w:pPr>
      <w:r>
        <w:rPr>
          <w:rFonts w:ascii="Arial" w:cs="Arial" w:eastAsia="Arial" w:hAnsi="Arial"/>
          <w:b/>
          <w:bCs/>
          <w:sz w:val="22"/>
          <w:szCs w:val="22"/>
        </w:rPr>
        <w:t xml:space="preserve">10.2  </w:t>
      </w:r>
      <w:r>
        <w:rPr>
          <w:rFonts w:ascii="Arial" w:cs="Arial" w:eastAsia="Arial" w:hAnsi="Arial"/>
          <w:sz w:val="22"/>
          <w:szCs w:val="22"/>
        </w:rPr>
        <w:t xml:space="preserve">Subcontractor shall maintain the site free from hazards and coordinate with other trades to minimize interference.</w:t>
      </w:r>
    </w:p>
    <w:p>
      <w:pPr>
        <w:pStyle w:val="Heading2"/>
        <w:spacing w:before="280" w:after="120"/>
      </w:pPr>
      <w:r>
        <w:rPr>
          <w:rFonts w:ascii="Arial" w:cs="Arial" w:eastAsia="Arial" w:hAnsi="Arial"/>
          <w:b/>
          <w:bCs/>
          <w:sz w:val="24"/>
          <w:szCs w:val="24"/>
        </w:rPr>
        <w:t xml:space="preserve">ARTICLE 11 – LIENS AND LIEN WAIVERS</w:t>
      </w:r>
    </w:p>
    <w:p>
      <w:pPr>
        <w:spacing w:after="100"/>
        <w:ind w:left="360"/>
      </w:pPr>
      <w:r>
        <w:rPr>
          <w:rFonts w:ascii="Arial" w:cs="Arial" w:eastAsia="Arial" w:hAnsi="Arial"/>
          <w:b/>
          <w:bCs/>
          <w:sz w:val="22"/>
          <w:szCs w:val="22"/>
        </w:rPr>
        <w:t xml:space="preserve">11.1  </w:t>
      </w:r>
      <w:r>
        <w:rPr>
          <w:rFonts w:ascii="Arial" w:cs="Arial" w:eastAsia="Arial" w:hAnsi="Arial"/>
          <w:sz w:val="22"/>
          <w:szCs w:val="22"/>
        </w:rPr>
        <w:t xml:space="preserve">Subcontractor shall deliver conditional lien waivers with each pay application and unconditional waivers upon receipt of payment.</w:t>
      </w:r>
    </w:p>
    <w:p>
      <w:pPr>
        <w:spacing w:after="100"/>
        <w:ind w:left="360"/>
      </w:pPr>
      <w:r>
        <w:rPr>
          <w:rFonts w:ascii="Arial" w:cs="Arial" w:eastAsia="Arial" w:hAnsi="Arial"/>
          <w:b/>
          <w:bCs/>
          <w:sz w:val="22"/>
          <w:szCs w:val="22"/>
        </w:rPr>
        <w:t xml:space="preserve">11.2  </w:t>
      </w:r>
      <w:r>
        <w:rPr>
          <w:rFonts w:ascii="Arial" w:cs="Arial" w:eastAsia="Arial" w:hAnsi="Arial"/>
          <w:sz w:val="22"/>
          <w:szCs w:val="22"/>
        </w:rPr>
        <w:t xml:space="preserve">Utah Lien Notice: Subcontractor is a supplier or subcontractor providing materials or labor under agreement with Contractor. Utah law may allow Subcontractor to file a lien against the property for unpaid work.</w:t>
      </w:r>
    </w:p>
    <w:p>
      <w:pPr>
        <w:pStyle w:val="Heading2"/>
        <w:spacing w:before="280" w:after="120"/>
      </w:pPr>
      <w:r>
        <w:rPr>
          <w:rFonts w:ascii="Arial" w:cs="Arial" w:eastAsia="Arial" w:hAnsi="Arial"/>
          <w:b/>
          <w:bCs/>
          <w:sz w:val="24"/>
          <w:szCs w:val="24"/>
        </w:rPr>
        <w:t xml:space="preserve">ARTICLE 12 – TERMINATION</w:t>
      </w:r>
    </w:p>
    <w:p>
      <w:pPr>
        <w:spacing w:after="100"/>
        <w:ind w:left="360"/>
      </w:pPr>
      <w:r>
        <w:rPr>
          <w:rFonts w:ascii="Arial" w:cs="Arial" w:eastAsia="Arial" w:hAnsi="Arial"/>
          <w:b/>
          <w:bCs/>
          <w:sz w:val="22"/>
          <w:szCs w:val="22"/>
        </w:rPr>
        <w:t xml:space="preserve">12.1  </w:t>
      </w:r>
      <w:r>
        <w:rPr>
          <w:rFonts w:ascii="Arial" w:cs="Arial" w:eastAsia="Arial" w:hAnsi="Arial"/>
          <w:sz w:val="22"/>
          <w:szCs w:val="22"/>
        </w:rPr>
        <w:t xml:space="preserve">Contractor may terminate for cause with seven (7) days written notice and opportunity to cure if Subcontractor: (a) fails to perform timely, (b) violates laws, (c) becomes insolvent, or (d) materially breaches this Agreement.</w:t>
      </w:r>
    </w:p>
    <w:p>
      <w:pPr>
        <w:spacing w:after="100"/>
        <w:ind w:left="360"/>
      </w:pPr>
      <w:r>
        <w:rPr>
          <w:rFonts w:ascii="Arial" w:cs="Arial" w:eastAsia="Arial" w:hAnsi="Arial"/>
          <w:b/>
          <w:bCs/>
          <w:sz w:val="22"/>
          <w:szCs w:val="22"/>
        </w:rPr>
        <w:t xml:space="preserve">12.2  </w:t>
      </w:r>
      <w:r>
        <w:rPr>
          <w:rFonts w:ascii="Arial" w:cs="Arial" w:eastAsia="Arial" w:hAnsi="Arial"/>
          <w:sz w:val="22"/>
          <w:szCs w:val="22"/>
        </w:rPr>
        <w:t xml:space="preserve">Contractor may terminate for convenience with fourteen (14) days notice. Subcontractor shall be paid for work completed plus reasonable demobilization costs.</w:t>
      </w:r>
    </w:p>
    <w:p>
      <w:pPr>
        <w:pStyle w:val="Heading2"/>
        <w:spacing w:before="280" w:after="120"/>
      </w:pPr>
      <w:r>
        <w:rPr>
          <w:rFonts w:ascii="Arial" w:cs="Arial" w:eastAsia="Arial" w:hAnsi="Arial"/>
          <w:b/>
          <w:bCs/>
          <w:sz w:val="24"/>
          <w:szCs w:val="24"/>
        </w:rPr>
        <w:t xml:space="preserve">ARTICLE 13 – FORCE MAJEURE</w:t>
      </w:r>
    </w:p>
    <w:p>
      <w:pPr>
        <w:spacing w:after="100"/>
        <w:ind w:left="360"/>
      </w:pPr>
      <w:r>
        <w:rPr>
          <w:rFonts w:ascii="Arial" w:cs="Arial" w:eastAsia="Arial" w:hAnsi="Arial"/>
          <w:b/>
          <w:bCs/>
          <w:sz w:val="22"/>
          <w:szCs w:val="22"/>
        </w:rPr>
        <w:t xml:space="preserve">13.1  </w:t>
      </w:r>
      <w:r>
        <w:rPr>
          <w:rFonts w:ascii="Arial" w:cs="Arial" w:eastAsia="Arial" w:hAnsi="Arial"/>
          <w:sz w:val="22"/>
          <w:szCs w:val="22"/>
        </w:rPr>
        <w:t xml:space="preserve">Neither party shall be liable for delays caused by circumstances beyond reasonable control, including natural disasters, pandemics, civil unrest, government actions, tariffs, material shortages, and long lead times. Prompt written notice required.</w:t>
      </w:r>
    </w:p>
    <w:p>
      <w:pPr>
        <w:pStyle w:val="Heading2"/>
        <w:spacing w:before="280" w:after="120"/>
      </w:pPr>
      <w:r>
        <w:rPr>
          <w:rFonts w:ascii="Arial" w:cs="Arial" w:eastAsia="Arial" w:hAnsi="Arial"/>
          <w:b/>
          <w:bCs/>
          <w:sz w:val="24"/>
          <w:szCs w:val="24"/>
        </w:rPr>
        <w:t xml:space="preserve">ARTICLE 14 – DISPUTE RESOLUTION</w:t>
      </w:r>
    </w:p>
    <w:p>
      <w:pPr>
        <w:spacing w:after="100"/>
        <w:ind w:left="360"/>
      </w:pPr>
      <w:r>
        <w:rPr>
          <w:rFonts w:ascii="Arial" w:cs="Arial" w:eastAsia="Arial" w:hAnsi="Arial"/>
          <w:b/>
          <w:bCs/>
          <w:sz w:val="22"/>
          <w:szCs w:val="22"/>
        </w:rPr>
        <w:t xml:space="preserve">14.1  </w:t>
      </w:r>
      <w:r>
        <w:rPr>
          <w:rFonts w:ascii="Arial" w:cs="Arial" w:eastAsia="Arial" w:hAnsi="Arial"/>
          <w:sz w:val="22"/>
          <w:szCs w:val="22"/>
        </w:rPr>
        <w:t xml:space="preserve">Disputes shall first be submitted to good-faith negotiation. If unresolved within thirty (30) days, mediation in Washington County, Utah.</w:t>
      </w:r>
    </w:p>
    <w:p>
      <w:pPr>
        <w:spacing w:after="100"/>
        <w:ind w:left="360"/>
      </w:pPr>
      <w:r>
        <w:rPr>
          <w:rFonts w:ascii="Arial" w:cs="Arial" w:eastAsia="Arial" w:hAnsi="Arial"/>
          <w:b/>
          <w:bCs/>
          <w:sz w:val="22"/>
          <w:szCs w:val="22"/>
        </w:rPr>
        <w:t xml:space="preserve">14.2  </w:t>
      </w:r>
      <w:r>
        <w:rPr>
          <w:rFonts w:ascii="Arial" w:cs="Arial" w:eastAsia="Arial" w:hAnsi="Arial"/>
          <w:sz w:val="22"/>
          <w:szCs w:val="22"/>
        </w:rPr>
        <w:t xml:space="preserve">Governed by Utah law. Prevailing party entitled to reasonable attorney’s fees and costs.</w:t>
      </w:r>
    </w:p>
    <w:p>
      <w:pPr>
        <w:pStyle w:val="Heading2"/>
        <w:spacing w:before="280" w:after="120"/>
      </w:pPr>
      <w:r>
        <w:rPr>
          <w:rFonts w:ascii="Arial" w:cs="Arial" w:eastAsia="Arial" w:hAnsi="Arial"/>
          <w:b/>
          <w:bCs/>
          <w:sz w:val="24"/>
          <w:szCs w:val="24"/>
        </w:rPr>
        <w:t xml:space="preserve">ARTICLE 15 – TAXES</w:t>
      </w:r>
    </w:p>
    <w:p>
      <w:pPr>
        <w:spacing w:after="100"/>
        <w:ind w:left="360"/>
      </w:pPr>
      <w:r>
        <w:rPr>
          <w:rFonts w:ascii="Arial" w:cs="Arial" w:eastAsia="Arial" w:hAnsi="Arial"/>
          <w:b/>
          <w:bCs/>
          <w:sz w:val="22"/>
          <w:szCs w:val="22"/>
        </w:rPr>
        <w:t xml:space="preserve">15.1  </w:t>
      </w:r>
      <w:r>
        <w:rPr>
          <w:rFonts w:ascii="Arial" w:cs="Arial" w:eastAsia="Arial" w:hAnsi="Arial"/>
          <w:sz w:val="22"/>
          <w:szCs w:val="22"/>
        </w:rPr>
        <w:t xml:space="preserve">All taxes related to this Agreement are Subcontractor’s responsibility unless otherwise noted.</w:t>
      </w:r>
    </w:p>
    <w:p>
      <w:pPr>
        <w:pStyle w:val="Heading2"/>
        <w:spacing w:before="280" w:after="120"/>
      </w:pPr>
      <w:r>
        <w:rPr>
          <w:rFonts w:ascii="Arial" w:cs="Arial" w:eastAsia="Arial" w:hAnsi="Arial"/>
          <w:b/>
          <w:bCs/>
          <w:sz w:val="24"/>
          <w:szCs w:val="24"/>
        </w:rPr>
        <w:t xml:space="preserve">ARTICLE 16 – GENERAL PROVISIONS</w:t>
      </w:r>
    </w:p>
    <w:p>
      <w:pPr>
        <w:spacing w:after="100"/>
        <w:ind w:left="360"/>
      </w:pPr>
      <w:r>
        <w:rPr>
          <w:rFonts w:ascii="Arial" w:cs="Arial" w:eastAsia="Arial" w:hAnsi="Arial"/>
          <w:b/>
          <w:bCs/>
          <w:sz w:val="22"/>
          <w:szCs w:val="22"/>
        </w:rPr>
        <w:t xml:space="preserve">16.1  </w:t>
      </w:r>
      <w:r>
        <w:rPr>
          <w:rFonts w:ascii="Arial" w:cs="Arial" w:eastAsia="Arial" w:hAnsi="Arial"/>
          <w:sz w:val="22"/>
          <w:szCs w:val="22"/>
        </w:rPr>
        <w:t xml:space="preserve">Entire Agreement: This Agreement and Exhibit A constitute the entire agreement, superseding all prior proposals and negotiations. Modifications require written change order signed by both parties.</w:t>
      </w:r>
    </w:p>
    <w:p>
      <w:pPr>
        <w:spacing w:after="100"/>
        <w:ind w:left="360"/>
      </w:pPr>
      <w:r>
        <w:rPr>
          <w:rFonts w:ascii="Arial" w:cs="Arial" w:eastAsia="Arial" w:hAnsi="Arial"/>
          <w:b/>
          <w:bCs/>
          <w:sz w:val="22"/>
          <w:szCs w:val="22"/>
        </w:rPr>
        <w:t xml:space="preserve">16.2  </w:t>
      </w:r>
      <w:r>
        <w:rPr>
          <w:rFonts w:ascii="Arial" w:cs="Arial" w:eastAsia="Arial" w:hAnsi="Arial"/>
          <w:sz w:val="22"/>
          <w:szCs w:val="22"/>
        </w:rPr>
        <w:t xml:space="preserve">Assignment: No assignment or subcontracting without Contractor’s prior written consent.</w:t>
      </w:r>
    </w:p>
    <w:p>
      <w:pPr>
        <w:spacing w:after="100"/>
        <w:ind w:left="360"/>
      </w:pPr>
      <w:r>
        <w:rPr>
          <w:rFonts w:ascii="Arial" w:cs="Arial" w:eastAsia="Arial" w:hAnsi="Arial"/>
          <w:b/>
          <w:bCs/>
          <w:sz w:val="22"/>
          <w:szCs w:val="22"/>
        </w:rPr>
        <w:t xml:space="preserve">16.3  </w:t>
      </w:r>
      <w:r>
        <w:rPr>
          <w:rFonts w:ascii="Arial" w:cs="Arial" w:eastAsia="Arial" w:hAnsi="Arial"/>
          <w:sz w:val="22"/>
          <w:szCs w:val="22"/>
        </w:rPr>
        <w:t xml:space="preserve">Notices: All notices in writing via email, hand delivery, or certified mail to the addresses above.</w:t>
      </w:r>
    </w:p>
    <w:p>
      <w:pPr>
        <w:spacing w:after="100"/>
        <w:ind w:left="360"/>
      </w:pPr>
      <w:r>
        <w:rPr>
          <w:rFonts w:ascii="Arial" w:cs="Arial" w:eastAsia="Arial" w:hAnsi="Arial"/>
          <w:b/>
          <w:bCs/>
          <w:sz w:val="22"/>
          <w:szCs w:val="22"/>
        </w:rPr>
        <w:t xml:space="preserve">16.4  </w:t>
      </w:r>
      <w:r>
        <w:rPr>
          <w:rFonts w:ascii="Arial" w:cs="Arial" w:eastAsia="Arial" w:hAnsi="Arial"/>
          <w:sz w:val="22"/>
          <w:szCs w:val="22"/>
        </w:rPr>
        <w:t xml:space="preserve">Severability: Invalid provisions do not affect remaining provisions.</w:t>
      </w:r>
    </w:p>
    <w:p>
      <w:pPr>
        <w:spacing w:after="100"/>
        <w:ind w:left="360"/>
      </w:pPr>
      <w:r>
        <w:rPr>
          <w:rFonts w:ascii="Arial" w:cs="Arial" w:eastAsia="Arial" w:hAnsi="Arial"/>
          <w:b/>
          <w:bCs/>
          <w:sz w:val="22"/>
          <w:szCs w:val="22"/>
        </w:rPr>
        <w:t xml:space="preserve">16.5  </w:t>
      </w:r>
      <w:r>
        <w:rPr>
          <w:rFonts w:ascii="Arial" w:cs="Arial" w:eastAsia="Arial" w:hAnsi="Arial"/>
          <w:sz w:val="22"/>
          <w:szCs w:val="22"/>
        </w:rPr>
        <w:t xml:space="preserve">As-Built Documentation: Subcontractor shall provide as-built records for all underground utilities, septic system, and French drain routing upon completion.</w:t>
      </w:r>
    </w:p>
    <w:p>
      <w:pPr>
        <w:spacing w:after="60"/>
      </w:pPr>
    </w:p>
    <w:p>
      <w:pPr>
        <w:spacing w:after="120"/>
      </w:pPr>
      <w:r>
        <w:rPr>
          <w:rFonts w:ascii="Arial" w:cs="Arial" w:eastAsia="Arial" w:hAnsi="Arial"/>
          <w:b/>
          <w:bCs/>
          <w:sz w:val="22"/>
          <w:szCs w:val="22"/>
        </w:rPr>
        <w:t xml:space="preserve">IN WITNESS WHEREOF,</w:t>
      </w:r>
      <w:r>
        <w:rPr>
          <w:rFonts w:ascii="Arial" w:cs="Arial" w:eastAsia="Arial" w:hAnsi="Arial"/>
          <w:sz w:val="22"/>
          <w:szCs w:val="22"/>
        </w:rPr>
        <w:t xml:space="preserve"> the parties have executed this Agreement as of the date first written above.</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pPr>
            <w:r>
              <w:rPr>
                <w:rFonts w:ascii="Arial" w:cs="Arial" w:eastAsia="Arial" w:hAnsi="Arial"/>
                <w:b/>
                <w:bCs/>
                <w:sz w:val="22"/>
                <w:szCs w:val="22"/>
              </w:rPr>
              <w:t xml:space="preserve">CONTRACTOR: RAC Inc.</w:t>
            </w:r>
          </w:p>
        </w:tc>
        <w:tc>
          <w:tcPr>
            <w:tcW w:type="dxa" w:w="468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0"/>
            </w:pPr>
            <w:r>
              <w:rPr>
                <w:rFonts w:ascii="Arial" w:cs="Arial" w:eastAsia="Arial" w:hAnsi="Arial"/>
                <w:b/>
                <w:bCs/>
                <w:sz w:val="22"/>
                <w:szCs w:val="22"/>
              </w:rPr>
              <w:t xml:space="preserve">SUBCONTRACTOR: BlackstoneX LLC</w:t>
            </w:r>
          </w:p>
        </w:tc>
      </w:tr>
      <w:tr>
        <w:tc>
          <w:tcPr>
            <w:tcW w:type="dxa" w:w="468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pPr>
          </w:p>
          <w:p>
            <w:pPr>
              <w:spacing w:after="60"/>
            </w:pPr>
          </w:p>
          <w:p>
            <w:pPr>
              <w:spacing w:after="60"/>
            </w:pPr>
            <w:r>
              <w:rPr>
                <w:rFonts w:ascii="Arial" w:cs="Arial" w:eastAsia="Arial" w:hAnsi="Arial"/>
                <w:sz w:val="22"/>
                <w:szCs w:val="22"/>
              </w:rPr>
              <w:t xml:space="preserve">Signature: ____________________________________</w:t>
            </w:r>
          </w:p>
          <w:p>
            <w:pPr>
              <w:spacing w:after="60"/>
            </w:pPr>
            <w:r>
              <w:rPr>
                <w:rFonts w:ascii="Arial" w:cs="Arial" w:eastAsia="Arial" w:hAnsi="Arial"/>
                <w:sz w:val="22"/>
                <w:szCs w:val="22"/>
              </w:rPr>
              <w:t xml:space="preserve">Printed Name: _________________________________</w:t>
            </w:r>
          </w:p>
          <w:p>
            <w:pPr>
              <w:spacing w:after="60"/>
            </w:pPr>
            <w:r>
              <w:rPr>
                <w:rFonts w:ascii="Arial" w:cs="Arial" w:eastAsia="Arial" w:hAnsi="Arial"/>
                <w:sz w:val="22"/>
                <w:szCs w:val="22"/>
              </w:rPr>
              <w:t xml:space="preserve">Title: ________________________________________</w:t>
            </w:r>
          </w:p>
          <w:p>
            <w:pPr>
              <w:spacing w:after="60"/>
            </w:pPr>
            <w:r>
              <w:rPr>
                <w:rFonts w:ascii="Arial" w:cs="Arial" w:eastAsia="Arial" w:hAnsi="Arial"/>
                <w:sz w:val="22"/>
                <w:szCs w:val="22"/>
              </w:rPr>
              <w:t xml:space="preserve">Date: _________________________________________</w:t>
            </w:r>
          </w:p>
        </w:tc>
        <w:tc>
          <w:tcPr>
            <w:tcW w:type="dxa" w:w="4680"/>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pPr>
          </w:p>
          <w:p>
            <w:pPr>
              <w:spacing w:after="60"/>
            </w:pPr>
          </w:p>
          <w:p>
            <w:pPr>
              <w:spacing w:after="60"/>
            </w:pPr>
            <w:r>
              <w:rPr>
                <w:rFonts w:ascii="Arial" w:cs="Arial" w:eastAsia="Arial" w:hAnsi="Arial"/>
                <w:sz w:val="22"/>
                <w:szCs w:val="22"/>
              </w:rPr>
              <w:t xml:space="preserve">Signature: ____________________________________</w:t>
            </w:r>
          </w:p>
          <w:p>
            <w:pPr>
              <w:spacing w:after="60"/>
            </w:pPr>
            <w:r>
              <w:rPr>
                <w:rFonts w:ascii="Arial" w:cs="Arial" w:eastAsia="Arial" w:hAnsi="Arial"/>
                <w:sz w:val="22"/>
                <w:szCs w:val="22"/>
              </w:rPr>
              <w:t xml:space="preserve">Printed Name: Dominic Kelsch</w:t>
            </w:r>
          </w:p>
          <w:p>
            <w:pPr>
              <w:spacing w:after="60"/>
            </w:pPr>
            <w:r>
              <w:rPr>
                <w:rFonts w:ascii="Arial" w:cs="Arial" w:eastAsia="Arial" w:hAnsi="Arial"/>
                <w:sz w:val="22"/>
                <w:szCs w:val="22"/>
              </w:rPr>
              <w:t xml:space="preserve">Title: Managing Member</w:t>
            </w:r>
          </w:p>
          <w:p>
            <w:pPr>
              <w:spacing w:after="60"/>
            </w:pPr>
            <w:r>
              <w:rPr>
                <w:rFonts w:ascii="Arial" w:cs="Arial" w:eastAsia="Arial" w:hAnsi="Arial"/>
                <w:sz w:val="22"/>
                <w:szCs w:val="22"/>
              </w:rPr>
              <w:t xml:space="preserve">Date: _________________________________________</w:t>
            </w:r>
          </w:p>
        </w:tc>
      </w:tr>
    </w:tbl>
    <w:p>
      <w:r>
        <w:br w:type="page"/>
      </w:r>
    </w:p>
    <w:p>
      <w:pPr>
        <w:pStyle w:val="Heading1"/>
        <w:spacing w:after="200"/>
        <w:jc w:val="center"/>
      </w:pPr>
      <w:r>
        <w:rPr>
          <w:rFonts w:ascii="Arial" w:cs="Arial" w:eastAsia="Arial" w:hAnsi="Arial"/>
          <w:b/>
          <w:bCs/>
          <w:sz w:val="28"/>
          <w:szCs w:val="28"/>
        </w:rPr>
        <w:t xml:space="preserve">EXHIBIT A – SCHEDULE OF VALUES</w:t>
      </w:r>
    </w:p>
    <w:p>
      <w:pPr>
        <w:spacing w:after="120"/>
      </w:pPr>
      <w:r>
        <w:rPr>
          <w:rFonts w:ascii="Arial" w:cs="Arial" w:eastAsia="Arial" w:hAnsi="Arial"/>
          <w:sz w:val="22"/>
          <w:szCs w:val="22"/>
        </w:rPr>
        <w:t xml:space="preserve">The following Schedule of Values details agreed-upon pricing. Monthly pay applications shall reference line-item percentage of completion.</w:t>
      </w:r>
    </w:p>
    <w:p>
      <w:pPr>
        <w:spacing w:after="60"/>
      </w:pP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420"/>
        <w:gridCol w:w="3700"/>
        <w:gridCol w:w="550"/>
        <w:gridCol w:w="500"/>
        <w:gridCol w:w="850"/>
        <w:gridCol w:w="1000"/>
        <w:gridCol w:w="1000"/>
      </w:tblGrid>
      <w:tr>
        <w:tc>
          <w:tcPr>
            <w:tcW w:type="dxa" w:w="420"/>
            <w:tcBorders>
              <w:top w:val="single" w:color="999999" w:sz="1"/>
              <w:left w:val="single" w:color="999999" w:sz="1"/>
              <w:bottom w:val="single" w:color="999999" w:sz="1"/>
              <w:right w:val="single" w:color="999999" w:sz="1"/>
            </w:tcBorders>
            <w:shd w:fill="2B3A55"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3700"/>
            <w:tcBorders>
              <w:top w:val="single" w:color="999999" w:sz="1"/>
              <w:left w:val="single" w:color="999999" w:sz="1"/>
              <w:bottom w:val="single" w:color="999999" w:sz="1"/>
              <w:right w:val="single" w:color="999999" w:sz="1"/>
            </w:tcBorders>
            <w:shd w:fill="2B3A55"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c>
          <w:tcPr>
            <w:tcW w:type="dxa" w:w="550"/>
            <w:tcBorders>
              <w:top w:val="single" w:color="999999" w:sz="1"/>
              <w:left w:val="single" w:color="999999" w:sz="1"/>
              <w:bottom w:val="single" w:color="999999" w:sz="1"/>
              <w:right w:val="single" w:color="999999" w:sz="1"/>
            </w:tcBorders>
            <w:shd w:fill="2B3A55"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Qty</w:t>
            </w:r>
          </w:p>
        </w:tc>
        <w:tc>
          <w:tcPr>
            <w:tcW w:type="dxa" w:w="500"/>
            <w:tcBorders>
              <w:top w:val="single" w:color="999999" w:sz="1"/>
              <w:left w:val="single" w:color="999999" w:sz="1"/>
              <w:bottom w:val="single" w:color="999999" w:sz="1"/>
              <w:right w:val="single" w:color="999999" w:sz="1"/>
            </w:tcBorders>
            <w:shd w:fill="2B3A55"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Unit</w:t>
            </w:r>
          </w:p>
        </w:tc>
        <w:tc>
          <w:tcPr>
            <w:tcW w:type="dxa" w:w="850"/>
            <w:tcBorders>
              <w:top w:val="single" w:color="999999" w:sz="1"/>
              <w:left w:val="single" w:color="999999" w:sz="1"/>
              <w:bottom w:val="single" w:color="999999" w:sz="1"/>
              <w:right w:val="single" w:color="999999" w:sz="1"/>
            </w:tcBorders>
            <w:shd w:fill="2B3A55"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Unit $</w:t>
            </w:r>
          </w:p>
        </w:tc>
        <w:tc>
          <w:tcPr>
            <w:tcW w:type="dxa" w:w="1000"/>
            <w:tcBorders>
              <w:top w:val="single" w:color="999999" w:sz="1"/>
              <w:left w:val="single" w:color="999999" w:sz="1"/>
              <w:bottom w:val="single" w:color="999999" w:sz="1"/>
              <w:right w:val="single" w:color="999999" w:sz="1"/>
            </w:tcBorders>
            <w:shd w:fill="2B3A55"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Total</w:t>
            </w:r>
          </w:p>
        </w:tc>
        <w:tc>
          <w:tcPr>
            <w:tcW w:type="dxa" w:w="1000"/>
            <w:tcBorders>
              <w:top w:val="single" w:color="999999" w:sz="1"/>
              <w:left w:val="single" w:color="999999" w:sz="1"/>
              <w:bottom w:val="single" w:color="999999" w:sz="1"/>
              <w:right w:val="single" w:color="999999" w:sz="1"/>
            </w:tcBorders>
            <w:shd w:fill="2B3A55"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 Comp</w:t>
            </w:r>
          </w:p>
        </w:tc>
      </w:tr>
      <w:tr>
        <w:tc>
          <w:tcPr>
            <w:tcW w:type="dxa" w:w="8020"/>
            <w:gridSpan w:val="7"/>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pPr>
              <w:spacing w:after="0"/>
            </w:pPr>
            <w:r>
              <w:rPr>
                <w:rFonts w:ascii="Arial" w:cs="Arial" w:eastAsia="Arial" w:hAnsi="Arial"/>
                <w:b/>
                <w:bCs/>
                <w:sz w:val="18"/>
                <w:szCs w:val="18"/>
              </w:rPr>
              <w:t xml:space="preserve">BASE EARTHWORK</w:t>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Clearing &amp; Grubbing</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ACRE</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$2,328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$1,630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Topsoil Strip 6”</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544</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CY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$4.65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$2,530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Basement Excavation</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888</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CY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$16.73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$14,850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Structural Over-Excavation</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991</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CY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$17.00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$16,847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5</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Structural Fill Placement (8” lifts)</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CY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$11.16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$11,160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Basement Wall Backfill</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400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CY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$16.73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$6,692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Rough Grading</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500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CY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$7.44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$3,720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8</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Spread Surplus Material</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700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CY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$6.50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$4,550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Re-spread Topsoil</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544</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CY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$4.65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$2,530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Roadway Excavation</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889</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CY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$8,890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11</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Exterior Flatwork Over-Excavation</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150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CY</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$13.07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$1,960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8020"/>
            <w:gridSpan w:val="7"/>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pPr>
              <w:spacing w:after="0"/>
            </w:pPr>
            <w:r>
              <w:rPr>
                <w:rFonts w:ascii="Arial" w:cs="Arial" w:eastAsia="Arial" w:hAnsi="Arial"/>
                <w:b/>
                <w:bCs/>
                <w:sz w:val="18"/>
                <w:szCs w:val="18"/>
              </w:rPr>
              <w:t xml:space="preserve">FRENCH DRAIN &amp; TRENCHING</w:t>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French Drain Excavation</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400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LF</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$26.50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$10,600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Power Trench Excavation</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LF</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$14.30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$2,860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Solar Trench Excavation</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150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LF</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$12.40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$1,860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8020"/>
            <w:gridSpan w:val="7"/>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pPr>
              <w:spacing w:after="0"/>
            </w:pPr>
            <w:r>
              <w:rPr>
                <w:rFonts w:ascii="Arial" w:cs="Arial" w:eastAsia="Arial" w:hAnsi="Arial"/>
                <w:b/>
                <w:bCs/>
                <w:sz w:val="18"/>
                <w:szCs w:val="18"/>
              </w:rPr>
              <w:t xml:space="preserve">TANK EXCAVATIONS</w:t>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Septic Tank Excavation</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LS</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$1,300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$1,300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16</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Propane Tank Excavation</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LS</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$560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$560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17</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Water Tank Excavation</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LS</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$930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$930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8020"/>
            <w:gridSpan w:val="7"/>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pPr>
              <w:spacing w:after="0"/>
            </w:pPr>
            <w:r>
              <w:rPr>
                <w:rFonts w:ascii="Arial" w:cs="Arial" w:eastAsia="Arial" w:hAnsi="Arial"/>
                <w:b/>
                <w:bCs/>
                <w:sz w:val="18"/>
                <w:szCs w:val="18"/>
              </w:rPr>
              <w:t xml:space="preserve">MATERIALS – DRAIN &amp; CONDUIT</w:t>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18</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 Perforated Pipe</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400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LF</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$2.84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$1,136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19</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Drain Rock</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32</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TON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$50.67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$1,621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20</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Geotextile Fabric</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EA</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21</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Bedding Sand</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23</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TON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$42.67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$981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22</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 PVC Conduit</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STK</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$61.33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$1,226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23</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 Sweep 90s</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4</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EA</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$61.33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$245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24</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 Couplings</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6</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EA</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$5.33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$32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25</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 PVC Conduit</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15</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STK</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$32.00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$480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26</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 Sweep 90s</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3</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EA</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$8.89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27</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 Couplings</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4</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EA</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$2.33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8020"/>
            <w:gridSpan w:val="7"/>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pPr>
              <w:spacing w:after="0"/>
            </w:pPr>
            <w:r>
              <w:rPr>
                <w:rFonts w:ascii="Arial" w:cs="Arial" w:eastAsia="Arial" w:hAnsi="Arial"/>
                <w:b/>
                <w:bCs/>
                <w:sz w:val="18"/>
                <w:szCs w:val="18"/>
              </w:rPr>
              <w:t xml:space="preserve">SEPTIC SYSTEM</w:t>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28</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Septic System Materials</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LS</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$4,885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$4,885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29</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Septic System Installation</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LS</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$6,500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$6,500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30</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Septic Leach Rock (Clean Gravel)</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105</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TON</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$38.00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$3,990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8020"/>
            <w:gridSpan w:val="7"/>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pPr>
              <w:spacing w:after="0"/>
            </w:pPr>
            <w:r>
              <w:rPr>
                <w:rFonts w:ascii="Arial" w:cs="Arial" w:eastAsia="Arial" w:hAnsi="Arial"/>
                <w:b/>
                <w:bCs/>
                <w:sz w:val="18"/>
                <w:szCs w:val="18"/>
              </w:rPr>
              <w:t xml:space="preserve">WATER SERVICE</w:t>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31</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 PEX Water Service – Furnish &amp; Install</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300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LF</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$23.00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$6,900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6020"/>
            <w:gridSpan w:val="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bCs/>
                <w:sz w:val="18"/>
                <w:szCs w:val="18"/>
              </w:rPr>
              <w:t xml:space="preserve">BASE BID SUBTOTAL</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bCs/>
                <w:sz w:val="18"/>
                <w:szCs w:val="18"/>
              </w:rPr>
              <w:t xml:space="preserve">$121,741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8020"/>
            <w:gridSpan w:val="7"/>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tcPr>
          <w:p>
            <w:pPr>
              <w:spacing w:after="0"/>
            </w:pPr>
            <w:r>
              <w:rPr>
                <w:rFonts w:ascii="Arial" w:cs="Arial" w:eastAsia="Arial" w:hAnsi="Arial"/>
                <w:b/>
                <w:bCs/>
                <w:sz w:val="18"/>
                <w:szCs w:val="18"/>
              </w:rPr>
              <w:t xml:space="preserve">ASPHALT SURFACING</w:t>
            </w:r>
          </w:p>
        </w:tc>
      </w:tr>
      <w:tr>
        <w:tc>
          <w:tcPr>
            <w:tcW w:type="dxa" w:w="4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32</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Asphalt Driveway Surface</w:t>
            </w:r>
          </w:p>
        </w:tc>
        <w:tc>
          <w:tcPr>
            <w:tcW w:type="dxa" w:w="5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1</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sz w:val="18"/>
                <w:szCs w:val="18"/>
              </w:rPr>
              <w:t xml:space="preserve">LS</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$77,760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val="false"/>
                <w:bCs w:val="false"/>
                <w:sz w:val="18"/>
                <w:szCs w:val="18"/>
              </w:rPr>
              <w:t xml:space="preserve">$77,760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r>
        <w:tc>
          <w:tcPr>
            <w:tcW w:type="dxa" w:w="6020"/>
            <w:gridSpan w:val="5"/>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bCs/>
                <w:sz w:val="18"/>
                <w:szCs w:val="18"/>
              </w:rPr>
              <w:t xml:space="preserve">CONTRACT TOTAL</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right"/>
            </w:pPr>
            <w:r>
              <w:rPr>
                <w:rFonts w:ascii="Arial" w:cs="Arial" w:eastAsia="Arial" w:hAnsi="Arial"/>
                <w:b/>
                <w:bCs/>
                <w:sz w:val="18"/>
                <w:szCs w:val="18"/>
              </w:rPr>
              <w:t xml:space="preserve">$199,501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r>
    </w:tbl>
    <w:p>
      <w:pPr>
        <w:spacing w:after="60"/>
      </w:pPr>
    </w:p>
    <w:p>
      <w:pPr>
        <w:spacing w:after="120"/>
      </w:pPr>
      <w:r>
        <w:rPr>
          <w:rFonts w:ascii="Arial" w:cs="Arial" w:eastAsia="Arial" w:hAnsi="Arial"/>
          <w:b/>
          <w:bCs/>
          <w:sz w:val="20"/>
          <w:szCs w:val="20"/>
        </w:rPr>
        <w:t xml:space="preserve">Notes:</w:t>
      </w:r>
    </w:p>
    <w:p>
      <w:pPr>
        <w:spacing w:after="120"/>
        <w:ind w:left="360"/>
      </w:pPr>
      <w:r>
        <w:rPr>
          <w:rFonts w:ascii="Arial" w:cs="Arial" w:eastAsia="Arial" w:hAnsi="Arial"/>
          <w:sz w:val="20"/>
          <w:szCs w:val="20"/>
        </w:rPr>
        <w:t xml:space="preserve">1. Contract Price is all-inclusive per Article 2.2. Changes require written change order.</w:t>
      </w:r>
    </w:p>
    <w:p>
      <w:pPr>
        <w:spacing w:after="120"/>
        <w:ind w:left="360"/>
      </w:pPr>
      <w:r>
        <w:rPr>
          <w:rFonts w:ascii="Arial" w:cs="Arial" w:eastAsia="Arial" w:hAnsi="Arial"/>
          <w:sz w:val="20"/>
          <w:szCs w:val="20"/>
        </w:rPr>
        <w:t xml:space="preserve">2. Structural fill placed and compacted in 8” lifts.</w:t>
      </w:r>
    </w:p>
    <w:p>
      <w:pPr>
        <w:spacing w:after="120"/>
        <w:ind w:left="360"/>
      </w:pPr>
      <w:r>
        <w:rPr>
          <w:rFonts w:ascii="Arial" w:cs="Arial" w:eastAsia="Arial" w:hAnsi="Arial"/>
          <w:sz w:val="20"/>
          <w:szCs w:val="20"/>
        </w:rPr>
        <w:t xml:space="preserve">3. Roadbase is 6” city-spec. Asphalt surfacing per Option 3.</w:t>
      </w:r>
    </w:p>
    <w:p>
      <w:pPr>
        <w:spacing w:after="120"/>
        <w:ind w:left="360"/>
      </w:pPr>
      <w:r>
        <w:rPr>
          <w:rFonts w:ascii="Arial" w:cs="Arial" w:eastAsia="Arial" w:hAnsi="Arial"/>
          <w:sz w:val="20"/>
          <w:szCs w:val="20"/>
        </w:rPr>
        <w:t xml:space="preserve">4. Septic system includes 1,500-gal low-profile tank, all materials, installation, and 105 TON leach rock.</w:t>
      </w:r>
    </w:p>
    <w:p>
      <w:pPr>
        <w:spacing w:after="120"/>
        <w:ind w:left="360"/>
      </w:pPr>
      <w:r>
        <w:rPr>
          <w:rFonts w:ascii="Arial" w:cs="Arial" w:eastAsia="Arial" w:hAnsi="Arial"/>
          <w:sz w:val="20"/>
          <w:szCs w:val="20"/>
        </w:rPr>
        <w:t xml:space="preserve">5. Water service is 1” PEX, 300 LF, furnish and install.</w:t>
      </w:r>
    </w:p>
    <w:p>
      <w:pPr>
        <w:spacing w:after="120"/>
        <w:ind w:left="360"/>
      </w:pPr>
      <w:r>
        <w:rPr>
          <w:rFonts w:ascii="Arial" w:cs="Arial" w:eastAsia="Arial" w:hAnsi="Arial"/>
          <w:sz w:val="20"/>
          <w:szCs w:val="20"/>
        </w:rPr>
        <w:t xml:space="preserve">6. Unit prices govern all quantity adjustments per Article 6.4.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r>
      <w:rPr>
        <w:rFonts w:ascii="Arial" w:cs="Arial" w:eastAsia="Arial" w:hAnsi="Arial"/>
        <w:sz w:val="18"/>
        <w:szCs w:val="18"/>
      </w:rPr>
      <w:t xml:space="preserve">          Initialed: Contractor ____ Sub 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Arial" w:cs="Arial" w:eastAsia="Arial" w:hAnsi="Arial"/>
        <w:i/>
        <w:iCs/>
        <w:color w:val="666666"/>
        <w:sz w:val="18"/>
        <w:szCs w:val="18"/>
      </w:rPr>
      <w:t xml:space="preserve">Subcontractor Agreement – Site Work – Rodriguez Residence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sz w:val="36"/>
      <w:szCs w:val="36"/>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20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2026-02-02T19:16:01.688Z</dcterms:created>
  <dcterms:modified xsi:type="dcterms:W3CDTF">2026-02-02T19:16:01.689Z</dcterms:modified>
</cp:coreProperties>
</file>

<file path=docProps/custom.xml><?xml version="1.0" encoding="utf-8"?>
<Properties xmlns="http://schemas.openxmlformats.org/officeDocument/2006/custom-properties" xmlns:vt="http://schemas.openxmlformats.org/officeDocument/2006/docPropsVTypes"/>
</file>